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48E93" w14:textId="77777777" w:rsidR="006033F3" w:rsidRPr="00B376BB" w:rsidRDefault="006033F3" w:rsidP="006033F3">
      <w:pPr>
        <w:keepNext/>
        <w:keepLines/>
        <w:spacing w:after="0" w:line="480" w:lineRule="auto"/>
        <w:jc w:val="center"/>
        <w:outlineLvl w:val="0"/>
        <w:rPr>
          <w:rFonts w:ascii="Times New Roman" w:eastAsia="Times New Roman" w:hAnsi="Times New Roman" w:cs="Times New Roman"/>
          <w:b/>
          <w:bCs/>
          <w:sz w:val="28"/>
          <w:szCs w:val="28"/>
        </w:rPr>
      </w:pPr>
      <w:bookmarkStart w:id="0" w:name="_Toc195038805"/>
      <w:r w:rsidRPr="00B376BB">
        <w:rPr>
          <w:rFonts w:ascii="Times New Roman" w:eastAsia="Times New Roman" w:hAnsi="Times New Roman" w:cs="Times New Roman"/>
          <w:b/>
          <w:bCs/>
          <w:sz w:val="28"/>
          <w:szCs w:val="28"/>
        </w:rPr>
        <w:t>ABSTRACT</w:t>
      </w:r>
      <w:bookmarkEnd w:id="0"/>
    </w:p>
    <w:p w14:paraId="162E6CFB" w14:textId="77777777" w:rsidR="006033F3" w:rsidRPr="00B376BB" w:rsidRDefault="006033F3" w:rsidP="006033F3">
      <w:pPr>
        <w:spacing w:line="480" w:lineRule="auto"/>
        <w:jc w:val="both"/>
        <w:rPr>
          <w:rFonts w:ascii="Times New Roman" w:eastAsia="Times New Roman" w:hAnsi="Times New Roman" w:cs="Times New Roman"/>
          <w:sz w:val="24"/>
          <w:szCs w:val="24"/>
        </w:rPr>
      </w:pPr>
      <w:r w:rsidRPr="00B376BB">
        <w:rPr>
          <w:rFonts w:ascii="Times New Roman" w:hAnsi="Times New Roman" w:cs="Times New Roman"/>
          <w:sz w:val="24"/>
          <w:szCs w:val="24"/>
        </w:rPr>
        <w:t>The occurrence of the global financial crisis in 2007-2009 has caused the issue of financial stability to become a significant concern for regulators, policymakers, and managers of financial institutions since the health of the economy and its ability to withstand shocks are closely linked to the soundness of the financial sector. Th</w:t>
      </w:r>
      <w:r w:rsidRPr="00B376BB">
        <w:rPr>
          <w:rFonts w:ascii="Times New Roman" w:eastAsia="Times New Roman" w:hAnsi="Times New Roman" w:cs="Times New Roman"/>
          <w:sz w:val="24"/>
          <w:szCs w:val="24"/>
        </w:rPr>
        <w:t xml:space="preserve">e banking industry’s stability is crucial to the financial system’s stability because it constitutes a significant component of the financial system in the sub-region of sub-Saharan Africa and hence its significant source of risk. </w:t>
      </w:r>
      <w:bookmarkStart w:id="1" w:name="_Hlk172092187"/>
      <w:r w:rsidRPr="00B376BB">
        <w:rPr>
          <w:rFonts w:ascii="Times New Roman" w:eastAsia="Times New Roman" w:hAnsi="Times New Roman" w:cs="Times New Roman"/>
          <w:sz w:val="24"/>
          <w:szCs w:val="24"/>
        </w:rPr>
        <w:t xml:space="preserve">Regulators and policymakers are therefore periodically putting in measures (reforms and interventions) to protect the stability </w:t>
      </w:r>
      <w:bookmarkEnd w:id="1"/>
      <w:r w:rsidRPr="00B376BB">
        <w:rPr>
          <w:rFonts w:ascii="Times New Roman" w:eastAsia="Times New Roman" w:hAnsi="Times New Roman" w:cs="Times New Roman"/>
          <w:sz w:val="24"/>
          <w:szCs w:val="24"/>
        </w:rPr>
        <w:t>of the banking sector, particularly in the period of crisis. It is in this light that this study investigates the dynamics of banking stability in sub-Saharan Africa and its potential feedback effects on the real economy. The dynamics of banking stability entail patterns, progressions, and changes in the variables that affect a banking system's capacity to sustain stability over time. The key aspect of the dynamics of banking stability considered in this study includes the patterns, progressions, feedback loops, and interactions between various factors both internal (within the banking system) and external (broader economy) that either enhance or diminish stability.</w:t>
      </w:r>
    </w:p>
    <w:p w14:paraId="0E1788EB" w14:textId="77777777" w:rsidR="006033F3" w:rsidRPr="00B376BB" w:rsidRDefault="006033F3" w:rsidP="006033F3">
      <w:pPr>
        <w:spacing w:line="480" w:lineRule="auto"/>
        <w:jc w:val="both"/>
        <w:rPr>
          <w:rFonts w:ascii="Times New Roman" w:eastAsia="Times New Roman" w:hAnsi="Times New Roman" w:cs="Times New Roman"/>
          <w:sz w:val="24"/>
          <w:szCs w:val="24"/>
        </w:rPr>
      </w:pPr>
    </w:p>
    <w:p w14:paraId="37EC4789" w14:textId="77777777" w:rsidR="006033F3" w:rsidRPr="00B376BB" w:rsidRDefault="006033F3" w:rsidP="006033F3">
      <w:pPr>
        <w:spacing w:line="480" w:lineRule="auto"/>
        <w:jc w:val="both"/>
        <w:rPr>
          <w:rFonts w:ascii="Times New Roman" w:eastAsia="Times New Roman" w:hAnsi="Times New Roman" w:cs="Times New Roman"/>
          <w:sz w:val="24"/>
          <w:szCs w:val="24"/>
        </w:rPr>
      </w:pPr>
      <w:r w:rsidRPr="00B376BB">
        <w:rPr>
          <w:rFonts w:ascii="Times New Roman" w:eastAsia="Times New Roman" w:hAnsi="Times New Roman" w:cs="Times New Roman"/>
          <w:sz w:val="24"/>
          <w:szCs w:val="24"/>
        </w:rPr>
        <w:t xml:space="preserve"> First, we assessed how banking stability and resilience have evolved in sub-Saharan Africa using trend analysis and stability index. In addition, </w:t>
      </w:r>
      <w:bookmarkStart w:id="2" w:name="_Hlk172092905"/>
      <w:r w:rsidRPr="00B376BB">
        <w:rPr>
          <w:rFonts w:ascii="Times New Roman" w:eastAsia="Times New Roman" w:hAnsi="Times New Roman" w:cs="Times New Roman"/>
          <w:sz w:val="24"/>
          <w:szCs w:val="24"/>
        </w:rPr>
        <w:t>we employed the System Generalized Method of Moments (GMM) panel regression model to identify the financial soundness indicators that contribute to banking stability in the sub-region by relating the Z-score to five soundness indicators</w:t>
      </w:r>
      <w:bookmarkEnd w:id="2"/>
      <w:r w:rsidRPr="00B376BB">
        <w:rPr>
          <w:rFonts w:ascii="Times New Roman" w:eastAsia="Times New Roman" w:hAnsi="Times New Roman" w:cs="Times New Roman"/>
          <w:sz w:val="24"/>
          <w:szCs w:val="24"/>
        </w:rPr>
        <w:t xml:space="preserve">. Next, </w:t>
      </w:r>
      <w:bookmarkStart w:id="3" w:name="_Hlk172098013"/>
      <w:r w:rsidRPr="00B376BB">
        <w:rPr>
          <w:rFonts w:ascii="Times New Roman" w:eastAsia="Times New Roman" w:hAnsi="Times New Roman" w:cs="Times New Roman"/>
          <w:sz w:val="24"/>
          <w:szCs w:val="24"/>
        </w:rPr>
        <w:t>the study also employed the dynamic generalized method of moments panel model to identify macroeconomic factors that have a significant impact on the non-performing loans ratio (a proxy</w:t>
      </w:r>
      <w:bookmarkEnd w:id="3"/>
      <w:r w:rsidRPr="00B376BB">
        <w:rPr>
          <w:rFonts w:ascii="Times New Roman" w:eastAsia="Times New Roman" w:hAnsi="Times New Roman" w:cs="Times New Roman"/>
          <w:sz w:val="24"/>
          <w:szCs w:val="24"/>
        </w:rPr>
        <w:t xml:space="preserve"> for credit risk). A lower non-performing loans ratio (signifying a lower credit </w:t>
      </w:r>
      <w:r w:rsidRPr="00B376BB">
        <w:rPr>
          <w:rFonts w:ascii="Times New Roman" w:eastAsia="Times New Roman" w:hAnsi="Times New Roman" w:cs="Times New Roman"/>
          <w:sz w:val="24"/>
          <w:szCs w:val="24"/>
        </w:rPr>
        <w:lastRenderedPageBreak/>
        <w:t>risk) translates to higher banking stability and vice versa. We used these significant macro variables to conduct macro stress testing of banks' credit risk, using non-performing loans as a proxy for banks' credit risk.</w:t>
      </w:r>
    </w:p>
    <w:p w14:paraId="7E811407" w14:textId="77777777" w:rsidR="006033F3" w:rsidRPr="00B376BB" w:rsidRDefault="006033F3" w:rsidP="006033F3">
      <w:pPr>
        <w:spacing w:line="480" w:lineRule="auto"/>
        <w:jc w:val="both"/>
        <w:rPr>
          <w:rFonts w:ascii="Times New Roman" w:eastAsia="Times New Roman" w:hAnsi="Times New Roman" w:cs="Times New Roman"/>
          <w:sz w:val="24"/>
          <w:szCs w:val="24"/>
        </w:rPr>
      </w:pPr>
      <w:bookmarkStart w:id="4" w:name="_Hlk172098831"/>
      <w:r w:rsidRPr="00B376BB">
        <w:rPr>
          <w:rFonts w:ascii="Times New Roman" w:eastAsia="Times New Roman" w:hAnsi="Times New Roman" w:cs="Times New Roman"/>
          <w:sz w:val="24"/>
          <w:szCs w:val="24"/>
        </w:rPr>
        <w:t xml:space="preserve"> The baseline scenario was obtained by applying the mean and standard deviation to a Monte Carlo simulation. The hypothetical scenario development approach was used, and the percentage deviation of the macro variables was applied to assess the sensitivity of non-performing loans to adverse macroeconomic development</w:t>
      </w:r>
      <w:bookmarkEnd w:id="4"/>
      <w:r w:rsidRPr="00B376BB">
        <w:rPr>
          <w:rFonts w:ascii="Times New Roman" w:eastAsia="Times New Roman" w:hAnsi="Times New Roman" w:cs="Times New Roman"/>
          <w:sz w:val="24"/>
          <w:szCs w:val="24"/>
        </w:rPr>
        <w:t xml:space="preserve">. </w:t>
      </w:r>
    </w:p>
    <w:p w14:paraId="38EA58C3" w14:textId="77777777" w:rsidR="006033F3" w:rsidRPr="00B376BB" w:rsidRDefault="006033F3" w:rsidP="006033F3">
      <w:pPr>
        <w:spacing w:line="480" w:lineRule="auto"/>
        <w:jc w:val="both"/>
        <w:rPr>
          <w:rFonts w:ascii="Times New Roman" w:eastAsia="Times New Roman" w:hAnsi="Times New Roman" w:cs="Times New Roman"/>
          <w:sz w:val="24"/>
          <w:szCs w:val="24"/>
        </w:rPr>
      </w:pPr>
      <w:r w:rsidRPr="00B376BB">
        <w:rPr>
          <w:rFonts w:ascii="Times New Roman" w:eastAsia="Times New Roman" w:hAnsi="Times New Roman" w:cs="Times New Roman"/>
          <w:sz w:val="24"/>
          <w:szCs w:val="24"/>
        </w:rPr>
        <w:t xml:space="preserve">Additionally, we examined the possible feedback effect of banking instability on the real economy by employing panel vector autoregressive (PVAR) methodologies. We therefore assessed the response of the Gross Domestic Product (GDP) growth rate, real interest rate, and inflation rate to adverse shocks in non-performing loans and credit risk. </w:t>
      </w:r>
    </w:p>
    <w:p w14:paraId="115C1360" w14:textId="77777777" w:rsidR="006033F3" w:rsidRPr="00B376BB" w:rsidRDefault="006033F3" w:rsidP="006033F3">
      <w:pPr>
        <w:spacing w:line="480" w:lineRule="auto"/>
        <w:jc w:val="both"/>
        <w:rPr>
          <w:rFonts w:ascii="Times New Roman" w:eastAsia="Times New Roman" w:hAnsi="Times New Roman" w:cs="Times New Roman"/>
          <w:sz w:val="24"/>
          <w:szCs w:val="24"/>
        </w:rPr>
      </w:pPr>
      <w:r w:rsidRPr="00B376BB">
        <w:rPr>
          <w:rFonts w:ascii="Times New Roman" w:eastAsia="Times New Roman" w:hAnsi="Times New Roman" w:cs="Times New Roman"/>
          <w:sz w:val="24"/>
          <w:szCs w:val="24"/>
        </w:rPr>
        <w:t xml:space="preserve">Finally, we examined the interrelationship between liquidity risk and capital adequacy risk and the joint impact of liquidity and capital adequacy on bank stability by employing simultaneous equations, panel VAR, two-stage least squares, and panel GMM estimation techniques. </w:t>
      </w:r>
    </w:p>
    <w:p w14:paraId="145FF7E2" w14:textId="77777777" w:rsidR="006033F3" w:rsidRPr="00B376BB" w:rsidRDefault="006033F3" w:rsidP="006033F3">
      <w:pPr>
        <w:spacing w:line="480" w:lineRule="auto"/>
        <w:jc w:val="both"/>
        <w:rPr>
          <w:rFonts w:ascii="Times New Roman" w:hAnsi="Times New Roman" w:cs="Times New Roman"/>
          <w:sz w:val="24"/>
          <w:szCs w:val="24"/>
        </w:rPr>
      </w:pPr>
      <w:bookmarkStart w:id="5" w:name="_Hlk172096226"/>
      <w:r w:rsidRPr="00B376BB">
        <w:rPr>
          <w:rFonts w:ascii="Times New Roman" w:eastAsia="Times New Roman" w:hAnsi="Times New Roman" w:cs="Times New Roman"/>
          <w:sz w:val="24"/>
          <w:szCs w:val="24"/>
        </w:rPr>
        <w:t xml:space="preserve">The results revealed that </w:t>
      </w:r>
      <w:r w:rsidRPr="00B376BB">
        <w:rPr>
          <w:rFonts w:ascii="Times New Roman" w:hAnsi="Times New Roman" w:cs="Times New Roman"/>
          <w:sz w:val="24"/>
          <w:szCs w:val="24"/>
        </w:rPr>
        <w:t xml:space="preserve">the stability of the banking industry in the sub-region has not progressed over the years despite the financial reforms and interventions such as financial </w:t>
      </w:r>
      <w:proofErr w:type="spellStart"/>
      <w:r w:rsidRPr="00B376BB">
        <w:rPr>
          <w:rFonts w:ascii="Times New Roman" w:hAnsi="Times New Roman" w:cs="Times New Roman"/>
          <w:sz w:val="24"/>
          <w:szCs w:val="24"/>
        </w:rPr>
        <w:t>liberalisation</w:t>
      </w:r>
      <w:proofErr w:type="spellEnd"/>
      <w:r w:rsidRPr="00B376BB">
        <w:rPr>
          <w:rFonts w:ascii="Times New Roman" w:hAnsi="Times New Roman" w:cs="Times New Roman"/>
          <w:sz w:val="24"/>
          <w:szCs w:val="24"/>
        </w:rPr>
        <w:t>, bank restructuring, developments of the institutional environment, implementation of 8 percent minimum risk-weighted CAR (capital adequacy ratio) that have been implemented</w:t>
      </w:r>
      <w:bookmarkEnd w:id="5"/>
      <w:r w:rsidRPr="00B376BB">
        <w:rPr>
          <w:rFonts w:ascii="Times New Roman" w:hAnsi="Times New Roman" w:cs="Times New Roman"/>
          <w:sz w:val="24"/>
          <w:szCs w:val="24"/>
        </w:rPr>
        <w:t>. In addition, the findings indicated that capital adequacy ratio (CAR), return on assets (ROA) and the ratio of liquid assets to total assets have statistically significant influence on banking stability, hence contributing to the stability of the banking industry in sub-Saharan Africa.</w:t>
      </w:r>
    </w:p>
    <w:p w14:paraId="40B560CF" w14:textId="77777777" w:rsidR="006033F3" w:rsidRPr="00B376BB" w:rsidRDefault="006033F3" w:rsidP="006033F3">
      <w:pPr>
        <w:spacing w:line="480" w:lineRule="auto"/>
        <w:jc w:val="both"/>
        <w:rPr>
          <w:rFonts w:ascii="Times New Roman" w:hAnsi="Times New Roman" w:cs="Times New Roman"/>
          <w:sz w:val="24"/>
          <w:szCs w:val="24"/>
        </w:rPr>
      </w:pPr>
      <w:bookmarkStart w:id="6" w:name="_Hlk172098391"/>
      <w:r w:rsidRPr="00B376BB">
        <w:rPr>
          <w:rFonts w:ascii="Times New Roman" w:hAnsi="Times New Roman" w:cs="Times New Roman"/>
          <w:sz w:val="24"/>
          <w:szCs w:val="24"/>
        </w:rPr>
        <w:lastRenderedPageBreak/>
        <w:t xml:space="preserve">The study revealed that macro factors such as the GDP growth rate, real interest rate, and oil prices have statistically significant impacts on the level of non-performing loans (NPLs). In addition, the results of the stress test showed that NPLs are sensitive to adverse shocks to GDP growth rate and real interest rate hence NPLs can escalate should the scenarios </w:t>
      </w:r>
      <w:proofErr w:type="spellStart"/>
      <w:r w:rsidRPr="00B376BB">
        <w:rPr>
          <w:rFonts w:ascii="Times New Roman" w:hAnsi="Times New Roman" w:cs="Times New Roman"/>
          <w:sz w:val="24"/>
          <w:szCs w:val="24"/>
        </w:rPr>
        <w:t>materialised</w:t>
      </w:r>
      <w:bookmarkEnd w:id="6"/>
      <w:proofErr w:type="spellEnd"/>
      <w:r w:rsidRPr="00B376BB">
        <w:rPr>
          <w:rFonts w:ascii="Times New Roman" w:hAnsi="Times New Roman" w:cs="Times New Roman"/>
          <w:sz w:val="24"/>
          <w:szCs w:val="24"/>
        </w:rPr>
        <w:t>.</w:t>
      </w:r>
    </w:p>
    <w:p w14:paraId="094FB886" w14:textId="77777777" w:rsidR="006033F3" w:rsidRPr="00B376BB" w:rsidRDefault="006033F3" w:rsidP="006033F3">
      <w:pPr>
        <w:spacing w:line="480" w:lineRule="auto"/>
        <w:jc w:val="both"/>
        <w:rPr>
          <w:rFonts w:ascii="Times New Roman" w:hAnsi="Times New Roman" w:cs="Times New Roman"/>
          <w:sz w:val="24"/>
          <w:szCs w:val="24"/>
        </w:rPr>
      </w:pPr>
      <w:r w:rsidRPr="00B376BB">
        <w:rPr>
          <w:rFonts w:ascii="Times New Roman" w:hAnsi="Times New Roman" w:cs="Times New Roman"/>
          <w:sz w:val="24"/>
          <w:szCs w:val="24"/>
        </w:rPr>
        <w:t>The findings of the study indicated that higher values of NPLs (banking instability) limit the credit growth of banks and cause a reduction in the GDP growth rate as well as an increase in inflation.  Surprisingly, the system exhibited a minimal response to credit growth shock. The findings, therefore, confirm the feedback effects of banking instabilities on the real economy.</w:t>
      </w:r>
    </w:p>
    <w:p w14:paraId="52669F8E" w14:textId="77777777" w:rsidR="006033F3" w:rsidRPr="00B376BB" w:rsidRDefault="006033F3" w:rsidP="006033F3">
      <w:pPr>
        <w:spacing w:line="480" w:lineRule="auto"/>
        <w:jc w:val="both"/>
        <w:rPr>
          <w:rFonts w:ascii="Times New Roman" w:hAnsi="Times New Roman" w:cs="Times New Roman"/>
          <w:sz w:val="24"/>
          <w:szCs w:val="24"/>
        </w:rPr>
      </w:pPr>
      <w:r w:rsidRPr="00B376BB">
        <w:rPr>
          <w:rFonts w:ascii="Times New Roman" w:hAnsi="Times New Roman" w:cs="Times New Roman"/>
          <w:sz w:val="24"/>
          <w:szCs w:val="24"/>
        </w:rPr>
        <w:t xml:space="preserve">Furthermore, the study's results showed that the interrelationship between liquidity risk and capital adequacy is bidirectional, and hence, there is a reciprocal relationship between liquidity risk and capital adequacy risk. Also, the study revealed that liquidity and capital adequacy jointly influence bank stability negatively. </w:t>
      </w:r>
    </w:p>
    <w:p w14:paraId="4603F13D" w14:textId="77777777" w:rsidR="006033F3" w:rsidRPr="002C10DB" w:rsidRDefault="006033F3" w:rsidP="006033F3">
      <w:pPr>
        <w:spacing w:line="480" w:lineRule="auto"/>
        <w:rPr>
          <w:rFonts w:ascii="Times New Roman" w:hAnsi="Times New Roman" w:cs="Times New Roman"/>
          <w:i/>
          <w:iCs/>
          <w:kern w:val="2"/>
          <w:sz w:val="24"/>
          <w:szCs w:val="24"/>
          <w:highlight w:val="cyan"/>
          <w14:ligatures w14:val="standardContextual"/>
        </w:rPr>
      </w:pPr>
      <w:r w:rsidRPr="002C10DB">
        <w:rPr>
          <w:rFonts w:ascii="Times New Roman" w:hAnsi="Times New Roman" w:cs="Times New Roman"/>
          <w:i/>
          <w:iCs/>
          <w:kern w:val="2"/>
          <w:sz w:val="24"/>
          <w:szCs w:val="24"/>
          <w14:ligatures w14:val="standardContextual"/>
        </w:rPr>
        <w:t>Keywords</w:t>
      </w:r>
      <w:r w:rsidRPr="00B376BB">
        <w:rPr>
          <w:rFonts w:ascii="Times New Roman" w:hAnsi="Times New Roman" w:cs="Times New Roman"/>
          <w:kern w:val="2"/>
          <w:sz w:val="24"/>
          <w:szCs w:val="24"/>
          <w14:ligatures w14:val="standardContextual"/>
        </w:rPr>
        <w:t xml:space="preserve">: </w:t>
      </w:r>
      <w:r w:rsidRPr="002C10DB">
        <w:rPr>
          <w:rFonts w:ascii="Times New Roman" w:hAnsi="Times New Roman" w:cs="Times New Roman"/>
          <w:i/>
          <w:iCs/>
          <w:kern w:val="2"/>
          <w:sz w:val="24"/>
          <w:szCs w:val="24"/>
          <w14:ligatures w14:val="standardContextual"/>
        </w:rPr>
        <w:t xml:space="preserve">banking stability, feedback effects, </w:t>
      </w:r>
      <w:proofErr w:type="spellStart"/>
      <w:r w:rsidRPr="002C10DB">
        <w:rPr>
          <w:rFonts w:ascii="Times New Roman" w:hAnsi="Times New Roman" w:cs="Times New Roman"/>
          <w:i/>
          <w:iCs/>
          <w:kern w:val="2"/>
          <w:sz w:val="24"/>
          <w:szCs w:val="24"/>
          <w14:ligatures w14:val="standardContextual"/>
        </w:rPr>
        <w:t>generalised</w:t>
      </w:r>
      <w:proofErr w:type="spellEnd"/>
      <w:r w:rsidRPr="002C10DB">
        <w:rPr>
          <w:rFonts w:ascii="Times New Roman" w:hAnsi="Times New Roman" w:cs="Times New Roman"/>
          <w:i/>
          <w:iCs/>
          <w:kern w:val="2"/>
          <w:sz w:val="24"/>
          <w:szCs w:val="24"/>
          <w14:ligatures w14:val="standardContextual"/>
        </w:rPr>
        <w:t xml:space="preserve"> method of moments, macro economy, macro stress testing, non-performing loans, panel VAR, reciprocal relationship, two-stage least square.</w:t>
      </w:r>
    </w:p>
    <w:p w14:paraId="204A8528" w14:textId="77777777" w:rsidR="006033F3" w:rsidRPr="00843E61" w:rsidRDefault="006033F3" w:rsidP="006033F3">
      <w:pPr>
        <w:rPr>
          <w:rFonts w:ascii="Times New Roman" w:hAnsi="Times New Roman" w:cs="Times New Roman"/>
          <w:b/>
          <w:bCs/>
          <w:kern w:val="2"/>
          <w:sz w:val="24"/>
          <w:szCs w:val="24"/>
          <w:lang w:val="it-IT"/>
          <w14:ligatures w14:val="standardContextual"/>
        </w:rPr>
      </w:pPr>
      <w:r w:rsidRPr="00843E61">
        <w:rPr>
          <w:rFonts w:ascii="Times New Roman" w:hAnsi="Times New Roman" w:cs="Times New Roman"/>
          <w:b/>
          <w:bCs/>
          <w:kern w:val="2"/>
          <w:sz w:val="24"/>
          <w:szCs w:val="24"/>
          <w:lang w:val="it-IT"/>
          <w14:ligatures w14:val="standardContextual"/>
        </w:rPr>
        <w:t xml:space="preserve">JEL classification codes: C3, C58, E02, E58, G01, G21, </w:t>
      </w:r>
    </w:p>
    <w:p w14:paraId="65E31AC2" w14:textId="77777777" w:rsidR="006033F3" w:rsidRPr="00843E61" w:rsidRDefault="006033F3" w:rsidP="006033F3">
      <w:pPr>
        <w:jc w:val="center"/>
        <w:rPr>
          <w:rFonts w:ascii="Times New Roman" w:hAnsi="Times New Roman" w:cs="Times New Roman"/>
          <w:b/>
          <w:bCs/>
          <w:kern w:val="2"/>
          <w:sz w:val="24"/>
          <w:szCs w:val="24"/>
          <w:lang w:val="it-IT"/>
          <w14:ligatures w14:val="standardContextual"/>
        </w:rPr>
      </w:pPr>
    </w:p>
    <w:p w14:paraId="632FC161" w14:textId="77777777" w:rsidR="006033F3" w:rsidRDefault="006033F3"/>
    <w:sectPr w:rsidR="00603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3F3"/>
    <w:rsid w:val="006033F3"/>
    <w:rsid w:val="0064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7AEBE"/>
  <w15:chartTrackingRefBased/>
  <w15:docId w15:val="{33136C22-CD2C-4C06-BAAF-AB621F94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3F3"/>
    <w:pPr>
      <w:spacing w:line="259" w:lineRule="auto"/>
    </w:pPr>
    <w:rPr>
      <w:kern w:val="0"/>
      <w:sz w:val="22"/>
      <w:szCs w:val="22"/>
      <w14:ligatures w14:val="none"/>
    </w:rPr>
  </w:style>
  <w:style w:type="paragraph" w:styleId="Heading1">
    <w:name w:val="heading 1"/>
    <w:basedOn w:val="Normal"/>
    <w:next w:val="Normal"/>
    <w:link w:val="Heading1Char"/>
    <w:uiPriority w:val="9"/>
    <w:qFormat/>
    <w:rsid w:val="006033F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033F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033F3"/>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033F3"/>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033F3"/>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033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033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033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033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3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33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33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33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33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3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3F3"/>
    <w:rPr>
      <w:rFonts w:eastAsiaTheme="majorEastAsia" w:cstheme="majorBidi"/>
      <w:color w:val="272727" w:themeColor="text1" w:themeTint="D8"/>
    </w:rPr>
  </w:style>
  <w:style w:type="paragraph" w:styleId="Title">
    <w:name w:val="Title"/>
    <w:basedOn w:val="Normal"/>
    <w:next w:val="Normal"/>
    <w:link w:val="TitleChar"/>
    <w:uiPriority w:val="10"/>
    <w:qFormat/>
    <w:rsid w:val="006033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03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3F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03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3F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033F3"/>
    <w:rPr>
      <w:i/>
      <w:iCs/>
      <w:color w:val="404040" w:themeColor="text1" w:themeTint="BF"/>
    </w:rPr>
  </w:style>
  <w:style w:type="paragraph" w:styleId="ListParagraph">
    <w:name w:val="List Paragraph"/>
    <w:basedOn w:val="Normal"/>
    <w:uiPriority w:val="34"/>
    <w:qFormat/>
    <w:rsid w:val="006033F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033F3"/>
    <w:rPr>
      <w:i/>
      <w:iCs/>
      <w:color w:val="2F5496" w:themeColor="accent1" w:themeShade="BF"/>
    </w:rPr>
  </w:style>
  <w:style w:type="paragraph" w:styleId="IntenseQuote">
    <w:name w:val="Intense Quote"/>
    <w:basedOn w:val="Normal"/>
    <w:next w:val="Normal"/>
    <w:link w:val="IntenseQuoteChar"/>
    <w:uiPriority w:val="30"/>
    <w:qFormat/>
    <w:rsid w:val="006033F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033F3"/>
    <w:rPr>
      <w:i/>
      <w:iCs/>
      <w:color w:val="2F5496" w:themeColor="accent1" w:themeShade="BF"/>
    </w:rPr>
  </w:style>
  <w:style w:type="character" w:styleId="IntenseReference">
    <w:name w:val="Intense Reference"/>
    <w:basedOn w:val="DefaultParagraphFont"/>
    <w:uiPriority w:val="32"/>
    <w:qFormat/>
    <w:rsid w:val="006033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776</Words>
  <Characters>4424</Characters>
  <Application>Microsoft Office Word</Application>
  <DocSecurity>0</DocSecurity>
  <Lines>36</Lines>
  <Paragraphs>10</Paragraphs>
  <ScaleCrop>false</ScaleCrop>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IGWEWUIKE AUSTIN</dc:creator>
  <cp:keywords/>
  <dc:description/>
  <cp:lastModifiedBy>IGWEWUIKE AUSTIN</cp:lastModifiedBy>
  <cp:revision>1</cp:revision>
  <dcterms:created xsi:type="dcterms:W3CDTF">2026-05-25T11:00:00Z</dcterms:created>
  <dcterms:modified xsi:type="dcterms:W3CDTF">2026-05-25T11:10:00Z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27c42b34-7652-4e46-b954-4449a858a451</vt:lpwstr>
  </property>
</Properties>
</file>