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90DC9" w14:textId="3187EB86" w:rsidR="00A311BB" w:rsidRPr="00A311BB" w:rsidRDefault="00A311BB" w:rsidP="00A311BB">
      <w:pPr>
        <w:jc w:val="both"/>
        <w:rPr>
          <w:rFonts w:ascii="Times New Roman" w:hAnsi="Times New Roman" w:cs="Times New Roman"/>
          <w:b/>
          <w:bCs/>
          <w:sz w:val="24"/>
          <w:szCs w:val="24"/>
          <w:lang/>
        </w:rPr>
      </w:pPr>
      <w:r w:rsidRPr="00A311BB">
        <w:rPr>
          <w:rFonts w:ascii="Times New Roman" w:hAnsi="Times New Roman" w:cs="Times New Roman"/>
          <w:b/>
          <w:bCs/>
          <w:sz w:val="24"/>
          <w:szCs w:val="24"/>
          <w:lang/>
        </w:rPr>
        <w:t>Abstract</w:t>
      </w:r>
    </w:p>
    <w:p w14:paraId="6A991960" w14:textId="77777777" w:rsidR="00A311BB" w:rsidRPr="00A311BB" w:rsidRDefault="00A311BB" w:rsidP="00A311BB">
      <w:pPr>
        <w:jc w:val="both"/>
        <w:rPr>
          <w:rFonts w:ascii="Times New Roman" w:hAnsi="Times New Roman" w:cs="Times New Roman"/>
          <w:sz w:val="24"/>
          <w:szCs w:val="24"/>
          <w:lang/>
        </w:rPr>
      </w:pPr>
      <w:r w:rsidRPr="00A311BB">
        <w:rPr>
          <w:rFonts w:ascii="Times New Roman" w:hAnsi="Times New Roman" w:cs="Times New Roman"/>
          <w:b/>
          <w:bCs/>
          <w:sz w:val="24"/>
          <w:szCs w:val="24"/>
          <w:lang/>
        </w:rPr>
        <w:t>Background:</w:t>
      </w:r>
      <w:r w:rsidRPr="00A311BB">
        <w:rPr>
          <w:rFonts w:ascii="Times New Roman" w:hAnsi="Times New Roman" w:cs="Times New Roman"/>
          <w:sz w:val="24"/>
          <w:szCs w:val="24"/>
          <w:lang/>
        </w:rPr>
        <w:t xml:space="preserve"> </w:t>
      </w:r>
    </w:p>
    <w:p w14:paraId="5771C8BD" w14:textId="68002E17" w:rsidR="00A311BB" w:rsidRPr="00A311BB" w:rsidRDefault="00A311BB" w:rsidP="00A311BB">
      <w:pPr>
        <w:jc w:val="both"/>
        <w:rPr>
          <w:rFonts w:ascii="Times New Roman" w:hAnsi="Times New Roman" w:cs="Times New Roman"/>
          <w:sz w:val="24"/>
          <w:szCs w:val="24"/>
          <w:lang/>
        </w:rPr>
      </w:pPr>
      <w:r w:rsidRPr="00A311BB">
        <w:rPr>
          <w:rFonts w:ascii="Times New Roman" w:hAnsi="Times New Roman" w:cs="Times New Roman"/>
          <w:sz w:val="24"/>
          <w:szCs w:val="24"/>
          <w:lang/>
        </w:rPr>
        <w:t>The HIV epidemic in West Africa is characterized by the co-circulation of HIV-1, HIV-2, and multiple recombinant forms. Despite widespread use of dolutegravir (DTG)-based antiretroviral therapy (ART), incomplete viral suppression and persistent immune dysfunction remain major challenges. This study established the WACCBIP HIV Infection Cohort (WHICH Study) to characterize the molecular and immunological features of HIV infection in Ghana and evaluate responses to DTG-based ART.</w:t>
      </w:r>
    </w:p>
    <w:p w14:paraId="432EEBA7" w14:textId="6EB22FCD" w:rsidR="00A311BB" w:rsidRPr="00A311BB" w:rsidRDefault="00A311BB" w:rsidP="00A311BB">
      <w:pPr>
        <w:jc w:val="both"/>
        <w:rPr>
          <w:rFonts w:ascii="Times New Roman" w:hAnsi="Times New Roman" w:cs="Times New Roman"/>
          <w:sz w:val="24"/>
          <w:szCs w:val="24"/>
          <w:lang/>
        </w:rPr>
      </w:pPr>
      <w:r w:rsidRPr="00A311BB">
        <w:rPr>
          <w:rFonts w:ascii="Times New Roman" w:hAnsi="Times New Roman" w:cs="Times New Roman"/>
          <w:b/>
          <w:bCs/>
          <w:sz w:val="24"/>
          <w:szCs w:val="24"/>
          <w:lang/>
        </w:rPr>
        <w:t>Methods:</w:t>
      </w:r>
      <w:r w:rsidRPr="00A311BB">
        <w:rPr>
          <w:rFonts w:ascii="Times New Roman" w:hAnsi="Times New Roman" w:cs="Times New Roman"/>
          <w:sz w:val="24"/>
          <w:szCs w:val="24"/>
          <w:lang/>
        </w:rPr>
        <w:t xml:space="preserve"> A total of 426 participants (159 ART-naïve and 267 ART-experienced) were recruited from six health facilities. Clinical, immunological, and biochemical parameters were assessed at enrolment and after six and twelve months of ART. Plasma cytokines were quantified using a 25-plex Luminex assay and </w:t>
      </w:r>
      <w:r w:rsidR="00B80384" w:rsidRPr="00A311BB">
        <w:rPr>
          <w:rFonts w:ascii="Times New Roman" w:hAnsi="Times New Roman" w:cs="Times New Roman"/>
          <w:sz w:val="24"/>
          <w:szCs w:val="24"/>
          <w:lang/>
        </w:rPr>
        <w:t>analysed</w:t>
      </w:r>
      <w:r w:rsidRPr="00A311BB">
        <w:rPr>
          <w:rFonts w:ascii="Times New Roman" w:hAnsi="Times New Roman" w:cs="Times New Roman"/>
          <w:sz w:val="24"/>
          <w:szCs w:val="24"/>
          <w:lang/>
        </w:rPr>
        <w:t xml:space="preserve"> using differential expression, network, pathway enrichment</w:t>
      </w:r>
      <w:r>
        <w:rPr>
          <w:rFonts w:ascii="Times New Roman" w:hAnsi="Times New Roman" w:cs="Times New Roman"/>
          <w:sz w:val="24"/>
          <w:szCs w:val="24"/>
          <w:lang/>
        </w:rPr>
        <w:t xml:space="preserve"> analysis</w:t>
      </w:r>
      <w:r w:rsidRPr="00A311BB">
        <w:rPr>
          <w:rFonts w:ascii="Times New Roman" w:hAnsi="Times New Roman" w:cs="Times New Roman"/>
          <w:sz w:val="24"/>
          <w:szCs w:val="24"/>
          <w:lang/>
        </w:rPr>
        <w:t>, and machine learning approaches. HIV genomes were characterized by next-generation sequencing, phylogenetic analysis, subtyping, recombination, drug resistance, and co-receptor tropism prediction.</w:t>
      </w:r>
    </w:p>
    <w:p w14:paraId="7A133C35" w14:textId="469A6D5B" w:rsidR="00A311BB" w:rsidRPr="00A311BB" w:rsidRDefault="00A311BB" w:rsidP="00A311BB">
      <w:pPr>
        <w:jc w:val="both"/>
        <w:rPr>
          <w:rFonts w:ascii="Times New Roman" w:hAnsi="Times New Roman" w:cs="Times New Roman"/>
          <w:sz w:val="24"/>
          <w:szCs w:val="24"/>
          <w:lang/>
        </w:rPr>
      </w:pPr>
      <w:r w:rsidRPr="00A311BB">
        <w:rPr>
          <w:rFonts w:ascii="Times New Roman" w:hAnsi="Times New Roman" w:cs="Times New Roman"/>
          <w:b/>
          <w:bCs/>
          <w:sz w:val="24"/>
          <w:szCs w:val="24"/>
          <w:lang/>
        </w:rPr>
        <w:t>Results:</w:t>
      </w:r>
      <w:r w:rsidRPr="00A311BB">
        <w:rPr>
          <w:rFonts w:ascii="Times New Roman" w:hAnsi="Times New Roman" w:cs="Times New Roman"/>
          <w:sz w:val="24"/>
          <w:szCs w:val="24"/>
          <w:lang/>
        </w:rPr>
        <w:t xml:space="preserve"> In ART-naïve participants, median viral load declined from log₁₀ 5.16 to 4.64 copies/mL (p = 0.0156), while median CD4⁺ count increased from 290 to 504 cells/mm³ (p &lt; 0.001) after six months of ART. However, 90% remained viraemic, indicating delayed viral suppression. ART-naïve status and a low CD4/CD8 ratio independently predicted poor immune recovery. ART reduced systemic inflammation, although key inflammatory and chemotactic pathways remained dysregulated. Sequencing generated 41 HIV-1 genomes, with CRF02_AG predominating, alongside subtype B, subtype G, and </w:t>
      </w:r>
      <w:r w:rsidR="00403914">
        <w:rPr>
          <w:rFonts w:ascii="Times New Roman" w:hAnsi="Times New Roman" w:cs="Times New Roman"/>
          <w:sz w:val="24"/>
          <w:szCs w:val="24"/>
          <w:lang/>
        </w:rPr>
        <w:t>unique</w:t>
      </w:r>
      <w:r w:rsidRPr="00A311BB">
        <w:rPr>
          <w:rFonts w:ascii="Times New Roman" w:hAnsi="Times New Roman" w:cs="Times New Roman"/>
          <w:sz w:val="24"/>
          <w:szCs w:val="24"/>
          <w:lang/>
        </w:rPr>
        <w:t xml:space="preserve"> recombinant</w:t>
      </w:r>
      <w:r w:rsidR="00403914">
        <w:rPr>
          <w:rFonts w:ascii="Times New Roman" w:hAnsi="Times New Roman" w:cs="Times New Roman"/>
          <w:sz w:val="24"/>
          <w:szCs w:val="24"/>
          <w:lang/>
        </w:rPr>
        <w:t xml:space="preserve"> forms</w:t>
      </w:r>
      <w:r w:rsidRPr="00A311BB">
        <w:rPr>
          <w:rFonts w:ascii="Times New Roman" w:hAnsi="Times New Roman" w:cs="Times New Roman"/>
          <w:sz w:val="24"/>
          <w:szCs w:val="24"/>
          <w:lang/>
        </w:rPr>
        <w:t>. Drug resistance mutations were detected in one-third of sequences, predominantly affecting reverse transcriptase, while both CCR5- and CXCR4-tropic viruses were identified.</w:t>
      </w:r>
    </w:p>
    <w:p w14:paraId="0B019C64" w14:textId="2F65D3CC" w:rsidR="00611BAB" w:rsidRPr="00A311BB" w:rsidRDefault="00A311BB" w:rsidP="00A311BB">
      <w:pPr>
        <w:jc w:val="both"/>
        <w:rPr>
          <w:rFonts w:ascii="Times New Roman" w:hAnsi="Times New Roman" w:cs="Times New Roman"/>
          <w:sz w:val="24"/>
          <w:szCs w:val="24"/>
        </w:rPr>
      </w:pPr>
      <w:r w:rsidRPr="00A311BB">
        <w:rPr>
          <w:rFonts w:ascii="Times New Roman" w:hAnsi="Times New Roman" w:cs="Times New Roman"/>
          <w:b/>
          <w:bCs/>
          <w:sz w:val="24"/>
          <w:szCs w:val="24"/>
          <w:lang/>
        </w:rPr>
        <w:t xml:space="preserve">Conclusion: </w:t>
      </w:r>
      <w:r w:rsidRPr="00A311BB">
        <w:rPr>
          <w:rFonts w:ascii="Times New Roman" w:hAnsi="Times New Roman" w:cs="Times New Roman"/>
          <w:sz w:val="24"/>
          <w:szCs w:val="24"/>
        </w:rPr>
        <w:t>This study provides a comprehensive molecular and immunological characterization of HIV infection in Ghana. Although DTG-based ART promotes immune restoration, delayed viral suppression and persistent immune dysregulation remain significant challenges. The observed viral diversity and emerging drug resistance underscore the need for continued molecular surveillance and targeted immunological interventions to improve HIV treatment outcomes in West Africa.</w:t>
      </w:r>
    </w:p>
    <w:sectPr w:rsidR="00611BAB" w:rsidRPr="00A311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1BB"/>
    <w:rsid w:val="002F4018"/>
    <w:rsid w:val="004027D0"/>
    <w:rsid w:val="00403914"/>
    <w:rsid w:val="00611BAB"/>
    <w:rsid w:val="00675431"/>
    <w:rsid w:val="009E0BDD"/>
    <w:rsid w:val="00A311BB"/>
    <w:rsid w:val="00A650C3"/>
    <w:rsid w:val="00B80384"/>
    <w:rsid w:val="00C455B7"/>
    <w:rsid w:val="00E164E0"/>
    <w:rsid w:val="00EE0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55FF3"/>
  <w15:chartTrackingRefBased/>
  <w15:docId w15:val="{6D0EB4E0-EB88-4BCE-9E71-057A9326A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A311B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A311B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A311BB"/>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A311BB"/>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A311BB"/>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A311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11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11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11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11BB"/>
    <w:rPr>
      <w:rFonts w:asciiTheme="majorHAnsi" w:eastAsiaTheme="majorEastAsia" w:hAnsiTheme="majorHAnsi" w:cstheme="majorBidi"/>
      <w:color w:val="2E74B5" w:themeColor="accent1" w:themeShade="BF"/>
      <w:sz w:val="40"/>
      <w:szCs w:val="40"/>
      <w:lang w:val="en-GB"/>
    </w:rPr>
  </w:style>
  <w:style w:type="character" w:customStyle="1" w:styleId="Heading2Char">
    <w:name w:val="Heading 2 Char"/>
    <w:basedOn w:val="DefaultParagraphFont"/>
    <w:link w:val="Heading2"/>
    <w:uiPriority w:val="9"/>
    <w:semiHidden/>
    <w:rsid w:val="00A311BB"/>
    <w:rPr>
      <w:rFonts w:asciiTheme="majorHAnsi" w:eastAsiaTheme="majorEastAsia" w:hAnsiTheme="majorHAnsi" w:cstheme="majorBidi"/>
      <w:color w:val="2E74B5" w:themeColor="accent1" w:themeShade="BF"/>
      <w:sz w:val="32"/>
      <w:szCs w:val="32"/>
      <w:lang w:val="en-GB"/>
    </w:rPr>
  </w:style>
  <w:style w:type="character" w:customStyle="1" w:styleId="Heading3Char">
    <w:name w:val="Heading 3 Char"/>
    <w:basedOn w:val="DefaultParagraphFont"/>
    <w:link w:val="Heading3"/>
    <w:uiPriority w:val="9"/>
    <w:semiHidden/>
    <w:rsid w:val="00A311BB"/>
    <w:rPr>
      <w:rFonts w:eastAsiaTheme="majorEastAsia" w:cstheme="majorBidi"/>
      <w:color w:val="2E74B5" w:themeColor="accent1" w:themeShade="BF"/>
      <w:sz w:val="28"/>
      <w:szCs w:val="28"/>
      <w:lang w:val="en-GB"/>
    </w:rPr>
  </w:style>
  <w:style w:type="character" w:customStyle="1" w:styleId="Heading4Char">
    <w:name w:val="Heading 4 Char"/>
    <w:basedOn w:val="DefaultParagraphFont"/>
    <w:link w:val="Heading4"/>
    <w:uiPriority w:val="9"/>
    <w:semiHidden/>
    <w:rsid w:val="00A311BB"/>
    <w:rPr>
      <w:rFonts w:eastAsiaTheme="majorEastAsia" w:cstheme="majorBidi"/>
      <w:i/>
      <w:iCs/>
      <w:color w:val="2E74B5" w:themeColor="accent1" w:themeShade="BF"/>
      <w:lang w:val="en-GB"/>
    </w:rPr>
  </w:style>
  <w:style w:type="character" w:customStyle="1" w:styleId="Heading5Char">
    <w:name w:val="Heading 5 Char"/>
    <w:basedOn w:val="DefaultParagraphFont"/>
    <w:link w:val="Heading5"/>
    <w:uiPriority w:val="9"/>
    <w:semiHidden/>
    <w:rsid w:val="00A311BB"/>
    <w:rPr>
      <w:rFonts w:eastAsiaTheme="majorEastAsia" w:cstheme="majorBidi"/>
      <w:color w:val="2E74B5" w:themeColor="accent1" w:themeShade="BF"/>
      <w:lang w:val="en-GB"/>
    </w:rPr>
  </w:style>
  <w:style w:type="character" w:customStyle="1" w:styleId="Heading6Char">
    <w:name w:val="Heading 6 Char"/>
    <w:basedOn w:val="DefaultParagraphFont"/>
    <w:link w:val="Heading6"/>
    <w:uiPriority w:val="9"/>
    <w:semiHidden/>
    <w:rsid w:val="00A311BB"/>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A311BB"/>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A311BB"/>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A311BB"/>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A311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11BB"/>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A311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11BB"/>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A311BB"/>
    <w:pPr>
      <w:spacing w:before="160"/>
      <w:jc w:val="center"/>
    </w:pPr>
    <w:rPr>
      <w:i/>
      <w:iCs/>
      <w:color w:val="404040" w:themeColor="text1" w:themeTint="BF"/>
    </w:rPr>
  </w:style>
  <w:style w:type="character" w:customStyle="1" w:styleId="QuoteChar">
    <w:name w:val="Quote Char"/>
    <w:basedOn w:val="DefaultParagraphFont"/>
    <w:link w:val="Quote"/>
    <w:uiPriority w:val="29"/>
    <w:rsid w:val="00A311BB"/>
    <w:rPr>
      <w:i/>
      <w:iCs/>
      <w:color w:val="404040" w:themeColor="text1" w:themeTint="BF"/>
      <w:lang w:val="en-GB"/>
    </w:rPr>
  </w:style>
  <w:style w:type="paragraph" w:styleId="ListParagraph">
    <w:name w:val="List Paragraph"/>
    <w:basedOn w:val="Normal"/>
    <w:uiPriority w:val="34"/>
    <w:qFormat/>
    <w:rsid w:val="00A311BB"/>
    <w:pPr>
      <w:ind w:left="720"/>
      <w:contextualSpacing/>
    </w:pPr>
  </w:style>
  <w:style w:type="character" w:styleId="IntenseEmphasis">
    <w:name w:val="Intense Emphasis"/>
    <w:basedOn w:val="DefaultParagraphFont"/>
    <w:uiPriority w:val="21"/>
    <w:qFormat/>
    <w:rsid w:val="00A311BB"/>
    <w:rPr>
      <w:i/>
      <w:iCs/>
      <w:color w:val="2E74B5" w:themeColor="accent1" w:themeShade="BF"/>
    </w:rPr>
  </w:style>
  <w:style w:type="paragraph" w:styleId="IntenseQuote">
    <w:name w:val="Intense Quote"/>
    <w:basedOn w:val="Normal"/>
    <w:next w:val="Normal"/>
    <w:link w:val="IntenseQuoteChar"/>
    <w:uiPriority w:val="30"/>
    <w:qFormat/>
    <w:rsid w:val="00A311B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311BB"/>
    <w:rPr>
      <w:i/>
      <w:iCs/>
      <w:color w:val="2E74B5" w:themeColor="accent1" w:themeShade="BF"/>
      <w:lang w:val="en-GB"/>
    </w:rPr>
  </w:style>
  <w:style w:type="character" w:styleId="IntenseReference">
    <w:name w:val="Intense Reference"/>
    <w:basedOn w:val="DefaultParagraphFont"/>
    <w:uiPriority w:val="32"/>
    <w:qFormat/>
    <w:rsid w:val="00A311BB"/>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348</Words>
  <Characters>1986</Characters>
  <Application>Microsoft Office Word</Application>
  <DocSecurity>0</DocSecurity>
  <Lines>16</Lines>
  <Paragraphs>4</Paragraphs>
  <ScaleCrop>false</ScaleCrop>
  <Company>HP</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Appeaning Mark</dc:creator>
  <cp:keywords/>
  <dc:description/>
  <cp:lastModifiedBy>Stephanie Elorm Mensah</cp:lastModifiedBy>
  <cp:revision>2</cp:revision>
  <dcterms:created xsi:type="dcterms:W3CDTF">2026-07-20T11:06:00Z</dcterms:created>
  <dcterms:modified xsi:type="dcterms:W3CDTF">2026-07-20T11:06:00Z</dcterms:modified>
</cp:coreProperties>
</file>