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906DC" w14:textId="77777777" w:rsidR="00F81151" w:rsidRPr="00F81151" w:rsidRDefault="00F81151" w:rsidP="00F81151">
      <w:pPr>
        <w:spacing w:after="0" w:line="276" w:lineRule="auto"/>
        <w:jc w:val="center"/>
        <w:rPr>
          <w:rFonts w:ascii="Times New Roman" w:eastAsia="Calibri" w:hAnsi="Times New Roman" w:cs="Times New Roman"/>
          <w:b/>
          <w:bCs/>
          <w:kern w:val="0"/>
          <w:sz w:val="28"/>
          <w:szCs w:val="28"/>
          <w14:ligatures w14:val="none"/>
        </w:rPr>
      </w:pPr>
      <w:bookmarkStart w:id="0" w:name="_Toc207194302"/>
      <w:r w:rsidRPr="00F81151">
        <w:rPr>
          <w:rFonts w:ascii="Times New Roman" w:eastAsia="Calibri" w:hAnsi="Times New Roman" w:cs="Times New Roman"/>
          <w:b/>
          <w:bCs/>
          <w:kern w:val="0"/>
          <w:sz w:val="28"/>
          <w:szCs w:val="28"/>
          <w14:ligatures w14:val="none"/>
        </w:rPr>
        <w:t>PERSPECTIVES OF SUB-STATE ACTORS ON TERRORISM AND THE IMPLICATIONS FOR NATIONAL COUNTERTERRORISM POLICY</w:t>
      </w:r>
      <w:r w:rsidRPr="00F81151">
        <w:rPr>
          <w:rFonts w:ascii="Calibri" w:eastAsia="Calibri" w:hAnsi="Calibri" w:cs="Times New Roman"/>
          <w:kern w:val="0"/>
          <w14:ligatures w14:val="none"/>
        </w:rPr>
        <w:t xml:space="preserve"> </w:t>
      </w:r>
      <w:r w:rsidRPr="00F81151">
        <w:rPr>
          <w:rFonts w:ascii="Times New Roman" w:eastAsia="Calibri" w:hAnsi="Times New Roman" w:cs="Times New Roman"/>
          <w:b/>
          <w:bCs/>
          <w:kern w:val="0"/>
          <w:sz w:val="28"/>
          <w:szCs w:val="28"/>
          <w14:ligatures w14:val="none"/>
        </w:rPr>
        <w:t>IN GHANA</w:t>
      </w:r>
    </w:p>
    <w:p w14:paraId="15791318" w14:textId="77777777" w:rsidR="00F81151" w:rsidRPr="00F81151" w:rsidRDefault="00F81151" w:rsidP="00F81151">
      <w:pPr>
        <w:spacing w:after="0" w:line="276" w:lineRule="auto"/>
        <w:jc w:val="center"/>
        <w:rPr>
          <w:rFonts w:ascii="Times New Roman" w:eastAsia="Calibri" w:hAnsi="Times New Roman" w:cs="Times New Roman"/>
          <w:b/>
          <w:bCs/>
          <w:kern w:val="0"/>
          <w:sz w:val="28"/>
          <w:szCs w:val="28"/>
          <w14:ligatures w14:val="none"/>
        </w:rPr>
      </w:pPr>
    </w:p>
    <w:p w14:paraId="60DE4C25" w14:textId="77777777" w:rsidR="00F81151" w:rsidRPr="00F81151" w:rsidRDefault="00F81151" w:rsidP="00F81151">
      <w:pPr>
        <w:spacing w:after="0" w:line="276" w:lineRule="auto"/>
        <w:jc w:val="center"/>
        <w:rPr>
          <w:rFonts w:ascii="Times New Roman" w:eastAsia="Calibri" w:hAnsi="Times New Roman" w:cs="Times New Roman"/>
          <w:b/>
          <w:bCs/>
          <w:kern w:val="0"/>
          <w:sz w:val="28"/>
          <w:szCs w:val="28"/>
          <w14:ligatures w14:val="none"/>
        </w:rPr>
      </w:pPr>
    </w:p>
    <w:p w14:paraId="4B1C0BC5" w14:textId="77777777" w:rsidR="00F81151" w:rsidRPr="00F81151" w:rsidRDefault="00F81151" w:rsidP="00F81151">
      <w:pPr>
        <w:spacing w:after="0" w:line="276" w:lineRule="auto"/>
        <w:jc w:val="center"/>
        <w:rPr>
          <w:rFonts w:ascii="Times New Roman" w:eastAsia="Calibri" w:hAnsi="Times New Roman" w:cs="Times New Roman"/>
          <w:b/>
          <w:bCs/>
          <w:kern w:val="0"/>
          <w:sz w:val="28"/>
          <w:szCs w:val="28"/>
          <w14:ligatures w14:val="none"/>
        </w:rPr>
      </w:pPr>
      <w:r w:rsidRPr="00F81151">
        <w:rPr>
          <w:rFonts w:ascii="Times New Roman" w:eastAsia="Calibri" w:hAnsi="Times New Roman" w:cs="Times New Roman"/>
          <w:b/>
          <w:bCs/>
          <w:kern w:val="0"/>
          <w:sz w:val="28"/>
          <w:szCs w:val="28"/>
          <w14:ligatures w14:val="none"/>
        </w:rPr>
        <w:t>BY</w:t>
      </w:r>
    </w:p>
    <w:p w14:paraId="0DFC66BA" w14:textId="77777777" w:rsidR="00F81151" w:rsidRPr="00F81151" w:rsidRDefault="00F81151" w:rsidP="00F81151">
      <w:pPr>
        <w:spacing w:after="0" w:line="276" w:lineRule="auto"/>
        <w:jc w:val="center"/>
        <w:rPr>
          <w:rFonts w:ascii="Times New Roman" w:eastAsia="Calibri" w:hAnsi="Times New Roman" w:cs="Times New Roman"/>
          <w:b/>
          <w:bCs/>
          <w:kern w:val="0"/>
          <w:sz w:val="28"/>
          <w:szCs w:val="28"/>
          <w14:ligatures w14:val="none"/>
        </w:rPr>
      </w:pPr>
    </w:p>
    <w:p w14:paraId="26FD9F1A" w14:textId="77777777" w:rsidR="00F81151" w:rsidRPr="00F81151" w:rsidRDefault="00F81151" w:rsidP="00F81151">
      <w:pPr>
        <w:spacing w:after="0" w:line="276" w:lineRule="auto"/>
        <w:jc w:val="center"/>
        <w:rPr>
          <w:rFonts w:ascii="Times New Roman" w:eastAsia="Calibri" w:hAnsi="Times New Roman" w:cs="Times New Roman"/>
          <w:b/>
          <w:bCs/>
          <w:kern w:val="0"/>
          <w:sz w:val="28"/>
          <w:szCs w:val="28"/>
          <w14:ligatures w14:val="none"/>
        </w:rPr>
      </w:pPr>
      <w:r w:rsidRPr="00F81151">
        <w:rPr>
          <w:rFonts w:ascii="Times New Roman" w:eastAsia="Calibri" w:hAnsi="Times New Roman" w:cs="Times New Roman"/>
          <w:b/>
          <w:bCs/>
          <w:kern w:val="0"/>
          <w:sz w:val="28"/>
          <w:szCs w:val="28"/>
          <w14:ligatures w14:val="none"/>
        </w:rPr>
        <w:t>BRIDGET JACOBA AVORGAH</w:t>
      </w:r>
    </w:p>
    <w:p w14:paraId="6ACD5E64" w14:textId="77777777" w:rsidR="00F81151" w:rsidRPr="00F81151" w:rsidRDefault="00F81151" w:rsidP="00F81151">
      <w:pPr>
        <w:spacing w:after="0" w:line="276" w:lineRule="auto"/>
        <w:jc w:val="center"/>
        <w:rPr>
          <w:rFonts w:ascii="Times New Roman" w:eastAsia="Calibri" w:hAnsi="Times New Roman" w:cs="Times New Roman"/>
          <w:b/>
          <w:bCs/>
          <w:kern w:val="0"/>
          <w:sz w:val="28"/>
          <w:szCs w:val="28"/>
          <w14:ligatures w14:val="none"/>
        </w:rPr>
      </w:pPr>
      <w:r w:rsidRPr="00F81151">
        <w:rPr>
          <w:rFonts w:ascii="Times New Roman" w:eastAsia="Calibri" w:hAnsi="Times New Roman" w:cs="Times New Roman"/>
          <w:b/>
          <w:bCs/>
          <w:kern w:val="0"/>
          <w:sz w:val="28"/>
          <w:szCs w:val="28"/>
          <w14:ligatures w14:val="none"/>
        </w:rPr>
        <w:t>(10875683)</w:t>
      </w:r>
    </w:p>
    <w:p w14:paraId="290DA1EC" w14:textId="77777777" w:rsidR="00F81151" w:rsidRDefault="00F81151" w:rsidP="00F81151">
      <w:pPr>
        <w:keepNext/>
        <w:spacing w:after="0" w:line="480" w:lineRule="auto"/>
        <w:jc w:val="both"/>
        <w:outlineLvl w:val="0"/>
        <w:rPr>
          <w:rFonts w:ascii="Times New Roman" w:eastAsia="Times New Roman" w:hAnsi="Times New Roman" w:cs="Times New Roman"/>
          <w:b/>
          <w:bCs/>
          <w:kern w:val="32"/>
          <w:sz w:val="24"/>
          <w:szCs w:val="24"/>
          <w14:ligatures w14:val="none"/>
        </w:rPr>
      </w:pPr>
    </w:p>
    <w:p w14:paraId="110F9ED3" w14:textId="26B2810D" w:rsidR="00BE0D51" w:rsidRPr="00BE0D51" w:rsidRDefault="00BE0D51" w:rsidP="00BE0D51">
      <w:pPr>
        <w:keepNext/>
        <w:spacing w:after="0" w:line="480" w:lineRule="auto"/>
        <w:jc w:val="center"/>
        <w:outlineLvl w:val="0"/>
        <w:rPr>
          <w:rFonts w:ascii="Times New Roman" w:eastAsia="Times New Roman" w:hAnsi="Times New Roman" w:cs="Times New Roman"/>
          <w:b/>
          <w:bCs/>
          <w:kern w:val="32"/>
          <w:sz w:val="24"/>
          <w:szCs w:val="24"/>
          <w14:ligatures w14:val="none"/>
        </w:rPr>
      </w:pPr>
      <w:r w:rsidRPr="00BE0D51">
        <w:rPr>
          <w:rFonts w:ascii="Times New Roman" w:eastAsia="Times New Roman" w:hAnsi="Times New Roman" w:cs="Times New Roman"/>
          <w:b/>
          <w:bCs/>
          <w:kern w:val="32"/>
          <w:sz w:val="24"/>
          <w:szCs w:val="24"/>
          <w14:ligatures w14:val="none"/>
        </w:rPr>
        <w:t>ABSTRACT</w:t>
      </w:r>
      <w:bookmarkEnd w:id="0"/>
    </w:p>
    <w:p w14:paraId="1F4CC864" w14:textId="068F957E" w:rsidR="00BE0D51" w:rsidRPr="00BE0D51" w:rsidRDefault="00BE0D51" w:rsidP="00BE0D51">
      <w:pPr>
        <w:spacing w:after="0" w:line="480" w:lineRule="auto"/>
        <w:jc w:val="both"/>
        <w:rPr>
          <w:rFonts w:ascii="Times New Roman" w:eastAsia="Calibri" w:hAnsi="Times New Roman" w:cs="Times New Roman"/>
          <w:kern w:val="0"/>
          <w:sz w:val="24"/>
          <w:szCs w:val="24"/>
          <w14:ligatures w14:val="none"/>
        </w:rPr>
      </w:pPr>
      <w:r w:rsidRPr="00BE0D51">
        <w:rPr>
          <w:rFonts w:ascii="Times New Roman" w:eastAsia="Calibri" w:hAnsi="Times New Roman" w:cs="Times New Roman"/>
          <w:kern w:val="0"/>
          <w:sz w:val="24"/>
          <w:szCs w:val="24"/>
          <w14:ligatures w14:val="none"/>
        </w:rPr>
        <w:t xml:space="preserve">Counterterrorism efforts are often state-centric, exclusionary and failing to utilize the immense resources commanded by </w:t>
      </w:r>
      <w:r w:rsidR="001611AC">
        <w:rPr>
          <w:rFonts w:ascii="Times New Roman" w:eastAsia="Calibri" w:hAnsi="Times New Roman" w:cs="Times New Roman"/>
          <w:kern w:val="0"/>
          <w:sz w:val="24"/>
          <w:szCs w:val="24"/>
          <w14:ligatures w14:val="none"/>
        </w:rPr>
        <w:t>sub</w:t>
      </w:r>
      <w:r w:rsidRPr="00BE0D51">
        <w:rPr>
          <w:rFonts w:ascii="Times New Roman" w:eastAsia="Calibri" w:hAnsi="Times New Roman" w:cs="Times New Roman"/>
          <w:kern w:val="0"/>
          <w:sz w:val="24"/>
          <w:szCs w:val="24"/>
          <w14:ligatures w14:val="none"/>
        </w:rPr>
        <w:t>-state actors</w:t>
      </w:r>
      <w:r w:rsidR="001611AC">
        <w:rPr>
          <w:rFonts w:ascii="Times New Roman" w:eastAsia="Calibri" w:hAnsi="Times New Roman" w:cs="Times New Roman"/>
          <w:kern w:val="0"/>
          <w:sz w:val="24"/>
          <w:szCs w:val="24"/>
          <w14:ligatures w14:val="none"/>
        </w:rPr>
        <w:t xml:space="preserve"> who</w:t>
      </w:r>
      <w:r w:rsidRPr="00BE0D51">
        <w:rPr>
          <w:rFonts w:ascii="Times New Roman" w:eastAsia="Calibri" w:hAnsi="Times New Roman" w:cs="Times New Roman"/>
          <w:kern w:val="0"/>
          <w:sz w:val="24"/>
          <w:szCs w:val="24"/>
          <w14:ligatures w14:val="none"/>
        </w:rPr>
        <w:t xml:space="preserve"> possess more credibility, especially trust</w:t>
      </w:r>
      <w:r w:rsidR="00D601DE">
        <w:rPr>
          <w:rFonts w:ascii="Times New Roman" w:eastAsia="Calibri" w:hAnsi="Times New Roman" w:cs="Times New Roman"/>
          <w:kern w:val="0"/>
          <w:sz w:val="24"/>
          <w:szCs w:val="24"/>
          <w14:ligatures w14:val="none"/>
        </w:rPr>
        <w:t xml:space="preserve"> than</w:t>
      </w:r>
      <w:r w:rsidRPr="00BE0D51">
        <w:rPr>
          <w:rFonts w:ascii="Times New Roman" w:eastAsia="Calibri" w:hAnsi="Times New Roman" w:cs="Times New Roman"/>
          <w:kern w:val="0"/>
          <w:sz w:val="24"/>
          <w:szCs w:val="24"/>
          <w14:ligatures w14:val="none"/>
        </w:rPr>
        <w:t xml:space="preserve"> state actors. This realisation has fuelled the search for solutions beyond state actors.  Consequently, a whole-of-society approach is promoted as the most effective strategy in terrorism studies, resulting in an increasing recognition of non-state actors </w:t>
      </w:r>
      <w:r w:rsidR="001611AC">
        <w:rPr>
          <w:rFonts w:ascii="Times New Roman" w:eastAsia="Calibri" w:hAnsi="Times New Roman" w:cs="Times New Roman"/>
          <w:kern w:val="0"/>
          <w:sz w:val="24"/>
          <w:szCs w:val="24"/>
          <w14:ligatures w14:val="none"/>
        </w:rPr>
        <w:t>such as</w:t>
      </w:r>
      <w:r w:rsidRPr="00BE0D51">
        <w:rPr>
          <w:rFonts w:ascii="Times New Roman" w:eastAsia="Calibri" w:hAnsi="Times New Roman" w:cs="Times New Roman"/>
          <w:kern w:val="0"/>
          <w:sz w:val="24"/>
          <w:szCs w:val="24"/>
          <w14:ligatures w14:val="none"/>
        </w:rPr>
        <w:t xml:space="preserve"> civil society organizations, media and the community. Ghana’s policy on terrorism, known as the National Framework for Preventing and Countering Violent Extremism and Terrorism, was designed in 2019 on the principles of whole-of government and whole-of society approaches. The policy tasked non–state actors to provide education that counters terrorist narratives in order to prevent terrorism. However, the state of terrorism education in Ghana, including community knowledge, as well as the experiences of the media and civil society organizations remain largely underexplored. This study, situated within the interpretive philosophy, and grounded in constructivism and securitization theor</w:t>
      </w:r>
      <w:r w:rsidR="00F81151">
        <w:rPr>
          <w:rFonts w:ascii="Times New Roman" w:eastAsia="Calibri" w:hAnsi="Times New Roman" w:cs="Times New Roman"/>
          <w:kern w:val="0"/>
          <w:sz w:val="24"/>
          <w:szCs w:val="24"/>
          <w14:ligatures w14:val="none"/>
        </w:rPr>
        <w:t>ies</w:t>
      </w:r>
      <w:r w:rsidRPr="00BE0D51">
        <w:rPr>
          <w:rFonts w:ascii="Times New Roman" w:eastAsia="Calibri" w:hAnsi="Times New Roman" w:cs="Times New Roman"/>
          <w:kern w:val="0"/>
          <w:sz w:val="24"/>
          <w:szCs w:val="24"/>
          <w14:ligatures w14:val="none"/>
        </w:rPr>
        <w:t xml:space="preserve">, examined the multiple perspectives and experiences of selected sub-state actors to identify existing knowledge gaps, experiences and challenges in terrorism education and their implication for policy making in Ghana. The study </w:t>
      </w:r>
      <w:r w:rsidR="00794BDD">
        <w:rPr>
          <w:rFonts w:ascii="Times New Roman" w:eastAsia="Calibri" w:hAnsi="Times New Roman" w:cs="Times New Roman"/>
          <w:kern w:val="0"/>
          <w:sz w:val="24"/>
          <w:szCs w:val="24"/>
          <w14:ligatures w14:val="none"/>
        </w:rPr>
        <w:t>used</w:t>
      </w:r>
      <w:r w:rsidRPr="00BE0D51">
        <w:rPr>
          <w:rFonts w:ascii="Times New Roman" w:eastAsia="Calibri" w:hAnsi="Times New Roman" w:cs="Times New Roman"/>
          <w:kern w:val="0"/>
          <w:sz w:val="24"/>
          <w:szCs w:val="24"/>
          <w14:ligatures w14:val="none"/>
        </w:rPr>
        <w:t xml:space="preserve"> a sample of 192 community participants from 8 towns, 15 media </w:t>
      </w:r>
      <w:r w:rsidRPr="00BE0D51">
        <w:rPr>
          <w:rFonts w:ascii="Times New Roman" w:eastAsia="Calibri" w:hAnsi="Times New Roman" w:cs="Times New Roman"/>
          <w:kern w:val="0"/>
          <w:sz w:val="24"/>
          <w:szCs w:val="24"/>
          <w14:ligatures w14:val="none"/>
        </w:rPr>
        <w:lastRenderedPageBreak/>
        <w:t>personnel and key officials of selected CSOs in terrorism education. Specifically, the study sought to find out prevailing understanding or constructions of terrorism, the state of media education on terrorism, the perceived roles and experiences of the media and CSOs as well as the challenges confronting terrorism education. The findings showed that although community awareness of terrorism was high, community knowledge was low. The community and media participants did not appreciate the level of Ghana’s vulnerability to terrorism threats. Media personnel wanted the resources committed to terrorism education diverted into infrastructure and health. Additionally, a whole-of-media approach to terrorism education was missing resulting in inadequate knowledge transfer within the media organizations. Challenges confronting CSOs included unstable funding, lack of qualified personnel and government support, competition and duplication of efforts and audience apathy. The study recommends among others, the promotion of a whole-of-media approach, curriculum integration in the policy and the establishment of implementation benchmarks such as funding and support for sub state actors in terrorism education</w:t>
      </w:r>
      <w:r w:rsidR="00011AC9">
        <w:rPr>
          <w:rFonts w:ascii="Times New Roman" w:eastAsia="Calibri" w:hAnsi="Times New Roman" w:cs="Times New Roman"/>
          <w:kern w:val="0"/>
          <w:sz w:val="24"/>
          <w:szCs w:val="24"/>
          <w14:ligatures w14:val="none"/>
        </w:rPr>
        <w:t>. In addition, optimal terrorism education require</w:t>
      </w:r>
      <w:r w:rsidR="000262CC">
        <w:rPr>
          <w:rFonts w:ascii="Times New Roman" w:eastAsia="Calibri" w:hAnsi="Times New Roman" w:cs="Times New Roman"/>
          <w:kern w:val="0"/>
          <w:sz w:val="24"/>
          <w:szCs w:val="24"/>
          <w14:ligatures w14:val="none"/>
        </w:rPr>
        <w:t>s</w:t>
      </w:r>
      <w:r w:rsidR="00011AC9">
        <w:rPr>
          <w:rFonts w:ascii="Times New Roman" w:eastAsia="Calibri" w:hAnsi="Times New Roman" w:cs="Times New Roman"/>
          <w:kern w:val="0"/>
          <w:sz w:val="24"/>
          <w:szCs w:val="24"/>
          <w14:ligatures w14:val="none"/>
        </w:rPr>
        <w:t xml:space="preserve"> </w:t>
      </w:r>
      <w:r w:rsidRPr="00BE0D51">
        <w:rPr>
          <w:rFonts w:ascii="Times New Roman" w:eastAsia="Calibri" w:hAnsi="Times New Roman" w:cs="Times New Roman"/>
          <w:kern w:val="0"/>
          <w:sz w:val="24"/>
          <w:szCs w:val="24"/>
          <w14:ligatures w14:val="none"/>
        </w:rPr>
        <w:t>contextual approaches or solutions.</w:t>
      </w:r>
    </w:p>
    <w:p w14:paraId="5FB05F98" w14:textId="77777777" w:rsidR="00BE0D51" w:rsidRPr="00BE0D51" w:rsidRDefault="00BE0D51" w:rsidP="00BE0D51">
      <w:pPr>
        <w:spacing w:after="0" w:line="480" w:lineRule="auto"/>
        <w:jc w:val="both"/>
        <w:rPr>
          <w:rFonts w:ascii="Times New Roman" w:eastAsia="Calibri" w:hAnsi="Times New Roman" w:cs="Times New Roman"/>
          <w:kern w:val="0"/>
          <w:sz w:val="24"/>
          <w:szCs w:val="24"/>
          <w14:ligatures w14:val="none"/>
        </w:rPr>
      </w:pPr>
    </w:p>
    <w:p w14:paraId="0C503E10" w14:textId="77777777" w:rsidR="00BE0D51" w:rsidRPr="00BE0D51" w:rsidRDefault="00BE0D51" w:rsidP="00BE0D51">
      <w:pPr>
        <w:spacing w:after="0" w:line="480" w:lineRule="auto"/>
        <w:jc w:val="both"/>
        <w:rPr>
          <w:rFonts w:ascii="Times New Roman" w:eastAsia="Calibri" w:hAnsi="Times New Roman" w:cs="Times New Roman"/>
          <w:kern w:val="0"/>
          <w:sz w:val="24"/>
          <w:szCs w:val="24"/>
          <w14:ligatures w14:val="none"/>
        </w:rPr>
      </w:pPr>
    </w:p>
    <w:p w14:paraId="3A82B093" w14:textId="77777777" w:rsidR="00224D9B" w:rsidRPr="00BE0D51" w:rsidRDefault="00224D9B">
      <w:pPr>
        <w:rPr>
          <w:rFonts w:ascii="Times New Roman" w:hAnsi="Times New Roman" w:cs="Times New Roman"/>
          <w:sz w:val="24"/>
          <w:szCs w:val="24"/>
        </w:rPr>
      </w:pPr>
    </w:p>
    <w:sectPr w:rsidR="00224D9B" w:rsidRPr="00BE0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51"/>
    <w:rsid w:val="00011AC9"/>
    <w:rsid w:val="000262CC"/>
    <w:rsid w:val="001611AC"/>
    <w:rsid w:val="00224D9B"/>
    <w:rsid w:val="00474908"/>
    <w:rsid w:val="00794BDD"/>
    <w:rsid w:val="00BE0D51"/>
    <w:rsid w:val="00D601DE"/>
    <w:rsid w:val="00D86153"/>
    <w:rsid w:val="00D93D80"/>
    <w:rsid w:val="00F81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ECE8"/>
  <w15:chartTrackingRefBased/>
  <w15:docId w15:val="{8A195BC0-75CD-43F1-ACD9-C613E378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E0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D51"/>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E0D51"/>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E0D51"/>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E0D51"/>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E0D51"/>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E0D5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E0D5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E0D5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E0D5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E0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D5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E0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D5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E0D51"/>
    <w:pPr>
      <w:spacing w:before="160"/>
      <w:jc w:val="center"/>
    </w:pPr>
    <w:rPr>
      <w:i/>
      <w:iCs/>
      <w:color w:val="404040" w:themeColor="text1" w:themeTint="BF"/>
    </w:rPr>
  </w:style>
  <w:style w:type="character" w:customStyle="1" w:styleId="QuoteChar">
    <w:name w:val="Quote Char"/>
    <w:basedOn w:val="DefaultParagraphFont"/>
    <w:link w:val="Quote"/>
    <w:uiPriority w:val="29"/>
    <w:rsid w:val="00BE0D51"/>
    <w:rPr>
      <w:i/>
      <w:iCs/>
      <w:color w:val="404040" w:themeColor="text1" w:themeTint="BF"/>
      <w:lang w:val="en-GB"/>
    </w:rPr>
  </w:style>
  <w:style w:type="paragraph" w:styleId="ListParagraph">
    <w:name w:val="List Paragraph"/>
    <w:basedOn w:val="Normal"/>
    <w:uiPriority w:val="34"/>
    <w:qFormat/>
    <w:rsid w:val="00BE0D51"/>
    <w:pPr>
      <w:ind w:left="720"/>
      <w:contextualSpacing/>
    </w:pPr>
  </w:style>
  <w:style w:type="character" w:styleId="IntenseEmphasis">
    <w:name w:val="Intense Emphasis"/>
    <w:basedOn w:val="DefaultParagraphFont"/>
    <w:uiPriority w:val="21"/>
    <w:qFormat/>
    <w:rsid w:val="00BE0D51"/>
    <w:rPr>
      <w:i/>
      <w:iCs/>
      <w:color w:val="0F4761" w:themeColor="accent1" w:themeShade="BF"/>
    </w:rPr>
  </w:style>
  <w:style w:type="paragraph" w:styleId="IntenseQuote">
    <w:name w:val="Intense Quote"/>
    <w:basedOn w:val="Normal"/>
    <w:next w:val="Normal"/>
    <w:link w:val="IntenseQuoteChar"/>
    <w:uiPriority w:val="30"/>
    <w:qFormat/>
    <w:rsid w:val="00BE0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D51"/>
    <w:rPr>
      <w:i/>
      <w:iCs/>
      <w:color w:val="0F4761" w:themeColor="accent1" w:themeShade="BF"/>
      <w:lang w:val="en-GB"/>
    </w:rPr>
  </w:style>
  <w:style w:type="character" w:styleId="IntenseReference">
    <w:name w:val="Intense Reference"/>
    <w:basedOn w:val="DefaultParagraphFont"/>
    <w:uiPriority w:val="32"/>
    <w:qFormat/>
    <w:rsid w:val="00BE0D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avorgah</dc:creator>
  <cp:keywords/>
  <dc:description/>
  <cp:lastModifiedBy>bridget avorgah</cp:lastModifiedBy>
  <cp:revision>2</cp:revision>
  <dcterms:created xsi:type="dcterms:W3CDTF">2026-09-17T02:03:00Z</dcterms:created>
  <dcterms:modified xsi:type="dcterms:W3CDTF">2026-09-17T02:57:00Z</dcterms:modified>
</cp:coreProperties>
</file>