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39EF" w14:textId="77777777" w:rsidR="003A721F" w:rsidRPr="004310C3" w:rsidRDefault="003A721F" w:rsidP="003A721F">
      <w:pPr>
        <w:rPr>
          <w:rFonts w:ascii="Times New Roman" w:hAnsi="Times New Roman" w:cs="Times New Roman"/>
          <w:sz w:val="24"/>
          <w:szCs w:val="24"/>
        </w:rPr>
      </w:pPr>
      <w:r w:rsidRPr="004310C3">
        <w:rPr>
          <w:rFonts w:ascii="Times New Roman" w:hAnsi="Times New Roman" w:cs="Times New Roman"/>
          <w:sz w:val="24"/>
          <w:szCs w:val="24"/>
        </w:rPr>
        <w:t>Abstract</w:t>
      </w:r>
    </w:p>
    <w:p w14:paraId="0D024CD1" w14:textId="7B561FB6" w:rsidR="003A721F" w:rsidRDefault="004310C3" w:rsidP="004310C3">
      <w:pPr>
        <w:jc w:val="both"/>
        <w:rPr>
          <w:rFonts w:ascii="Times New Roman" w:hAnsi="Times New Roman" w:cs="Times New Roman"/>
          <w:sz w:val="24"/>
          <w:szCs w:val="24"/>
        </w:rPr>
      </w:pPr>
      <w:r w:rsidRPr="004310C3">
        <w:rPr>
          <w:rFonts w:ascii="Times New Roman" w:hAnsi="Times New Roman" w:cs="Times New Roman"/>
          <w:sz w:val="24"/>
          <w:szCs w:val="24"/>
        </w:rPr>
        <w:t xml:space="preserve">Antimicrobial resistance (AMR) is a growing public health and environmental challenge, particularly in resource-limited settings where wastewater treatment and environmental surveillance remain inadequate. This study investigated the occurrence of antibiotic residues and heavy metals and their relationship with antibiotic resistance, heavy metal resistance, virulence, and genomic characteristics of </w:t>
      </w:r>
      <w:r w:rsidRPr="004310C3">
        <w:rPr>
          <w:rFonts w:ascii="Times New Roman" w:hAnsi="Times New Roman" w:cs="Times New Roman"/>
          <w:i/>
          <w:iCs/>
          <w:sz w:val="24"/>
          <w:szCs w:val="24"/>
        </w:rPr>
        <w:t>Escherichia coli</w:t>
      </w:r>
      <w:r>
        <w:rPr>
          <w:rFonts w:ascii="Times New Roman" w:hAnsi="Times New Roman" w:cs="Times New Roman"/>
          <w:sz w:val="24"/>
          <w:szCs w:val="24"/>
        </w:rPr>
        <w:t xml:space="preserve"> (</w:t>
      </w:r>
      <w:r w:rsidRPr="004310C3">
        <w:rPr>
          <w:rFonts w:ascii="Times New Roman" w:hAnsi="Times New Roman" w:cs="Times New Roman"/>
          <w:i/>
          <w:iCs/>
          <w:sz w:val="24"/>
          <w:szCs w:val="24"/>
        </w:rPr>
        <w:t>E. coli</w:t>
      </w:r>
      <w:r>
        <w:rPr>
          <w:rFonts w:ascii="Times New Roman" w:hAnsi="Times New Roman" w:cs="Times New Roman"/>
          <w:sz w:val="24"/>
          <w:szCs w:val="24"/>
        </w:rPr>
        <w:t>)</w:t>
      </w:r>
      <w:r w:rsidRPr="004310C3">
        <w:rPr>
          <w:rFonts w:ascii="Times New Roman" w:hAnsi="Times New Roman" w:cs="Times New Roman"/>
          <w:sz w:val="24"/>
          <w:szCs w:val="24"/>
        </w:rPr>
        <w:t xml:space="preserve"> in wastewater and aquatic environments in Accra, Ghana. Water, sediment, and soil samples were collected from hospital effluents, a wastewater treatment plant, the Odaw River and Korle Lagoon, and an informal electronic-waste recycling site. Seven antibiotics were quantified using solid-phase extraction and high-performance liquid chromatography with photodiode array detection, while heavy metals were analysed using ICP-MS and ICP-OES. </w:t>
      </w:r>
      <w:r w:rsidRPr="004310C3">
        <w:rPr>
          <w:rFonts w:ascii="Times New Roman" w:hAnsi="Times New Roman" w:cs="Times New Roman"/>
          <w:i/>
          <w:iCs/>
          <w:sz w:val="24"/>
          <w:szCs w:val="24"/>
        </w:rPr>
        <w:t>E. coli</w:t>
      </w:r>
      <w:r w:rsidRPr="004310C3">
        <w:rPr>
          <w:rFonts w:ascii="Times New Roman" w:hAnsi="Times New Roman" w:cs="Times New Roman"/>
          <w:sz w:val="24"/>
          <w:szCs w:val="24"/>
        </w:rPr>
        <w:t xml:space="preserve"> isolates were subjected to antimicrobial susceptibility testing, and multidrug-resistant (MDR) isolates were whole-genome sequenced using Illumina MiSeq.</w:t>
      </w:r>
      <w:r w:rsidRPr="004310C3">
        <w:rPr>
          <w:rFonts w:ascii="Times New Roman" w:hAnsi="Times New Roman" w:cs="Times New Roman"/>
          <w:sz w:val="24"/>
          <w:szCs w:val="24"/>
        </w:rPr>
        <w:t xml:space="preserve"> </w:t>
      </w:r>
      <w:r w:rsidRPr="004310C3">
        <w:rPr>
          <w:rFonts w:ascii="Times New Roman" w:hAnsi="Times New Roman" w:cs="Times New Roman"/>
          <w:sz w:val="24"/>
          <w:szCs w:val="24"/>
        </w:rPr>
        <w:t xml:space="preserve">Chloramphenicol, trimethoprim, ampicillin, amoxicillin, and cefuroxime were detected at concentrations of up to 0.992, 0.332, 0.531, 0.238, and 0.127 mg/L, respectively, with trimethoprim and chloramphenicol presenting potential ecological risks. Heavy metals occurred in the order Zn&gt;Cu&gt;Cr&gt;As&gt;Pb&gt;Cd, with several concentrations exceeding permissible environmental limits. Of 57 </w:t>
      </w:r>
      <w:r w:rsidRPr="004310C3">
        <w:rPr>
          <w:rFonts w:ascii="Times New Roman" w:hAnsi="Times New Roman" w:cs="Times New Roman"/>
          <w:i/>
          <w:iCs/>
          <w:sz w:val="24"/>
          <w:szCs w:val="24"/>
        </w:rPr>
        <w:t>E. coli</w:t>
      </w:r>
      <w:r w:rsidRPr="004310C3">
        <w:rPr>
          <w:rFonts w:ascii="Times New Roman" w:hAnsi="Times New Roman" w:cs="Times New Roman"/>
          <w:sz w:val="24"/>
          <w:szCs w:val="24"/>
        </w:rPr>
        <w:t xml:space="preserve"> isolates, 75.4% were resistant to at least one antibiotic and 44% were MDR. Twenty-five MDR isolates were sequenced, revealing 20 sequence types, including clinically relevant and novel STs, and diverse β-lactamase and carbapenemase genes, including </w:t>
      </w:r>
      <w:r w:rsidRPr="004310C3">
        <w:rPr>
          <w:rFonts w:ascii="Times New Roman" w:hAnsi="Times New Roman" w:cs="Times New Roman"/>
          <w:i/>
          <w:iCs/>
          <w:sz w:val="24"/>
          <w:szCs w:val="24"/>
        </w:rPr>
        <w:t>blaCTX-M</w:t>
      </w:r>
      <w:r w:rsidRPr="004310C3">
        <w:rPr>
          <w:rFonts w:ascii="Times New Roman" w:hAnsi="Times New Roman" w:cs="Times New Roman"/>
          <w:i/>
          <w:iCs/>
          <w:sz w:val="24"/>
          <w:szCs w:val="24"/>
          <w:vertAlign w:val="subscript"/>
        </w:rPr>
        <w:t>-15</w:t>
      </w:r>
      <w:r w:rsidRPr="004310C3">
        <w:rPr>
          <w:rFonts w:ascii="Times New Roman" w:hAnsi="Times New Roman" w:cs="Times New Roman"/>
          <w:sz w:val="24"/>
          <w:szCs w:val="24"/>
        </w:rPr>
        <w:t xml:space="preserve"> and </w:t>
      </w:r>
      <w:r w:rsidRPr="004310C3">
        <w:rPr>
          <w:rFonts w:ascii="Times New Roman" w:hAnsi="Times New Roman" w:cs="Times New Roman"/>
          <w:i/>
          <w:iCs/>
          <w:sz w:val="24"/>
          <w:szCs w:val="24"/>
        </w:rPr>
        <w:t>blaOXA</w:t>
      </w:r>
      <w:r w:rsidRPr="004310C3">
        <w:rPr>
          <w:rFonts w:ascii="Times New Roman" w:hAnsi="Times New Roman" w:cs="Times New Roman"/>
          <w:i/>
          <w:iCs/>
          <w:sz w:val="24"/>
          <w:szCs w:val="24"/>
          <w:vertAlign w:val="subscript"/>
        </w:rPr>
        <w:t>-181</w:t>
      </w:r>
      <w:r w:rsidRPr="004310C3">
        <w:rPr>
          <w:rFonts w:ascii="Times New Roman" w:hAnsi="Times New Roman" w:cs="Times New Roman"/>
          <w:sz w:val="24"/>
          <w:szCs w:val="24"/>
        </w:rPr>
        <w:t>. Twenty-one isolates harboured 128 antibiotic resistance genes, while 13 carried heavy-metal resistance genes. These findings demonstrate that contaminated urban aquatic environments in Accra constitute reservoirs of antimicrobial-resistant bacteria and chemical contaminants, highlighting the need for integrated One Health surveillance and targeted environmental management to mitigate the emergence and dissemination of AMR.</w:t>
      </w:r>
    </w:p>
    <w:p w14:paraId="01660C1B" w14:textId="77777777" w:rsidR="004310C3" w:rsidRDefault="004310C3" w:rsidP="004310C3">
      <w:pPr>
        <w:jc w:val="both"/>
        <w:rPr>
          <w:rFonts w:ascii="Times New Roman" w:hAnsi="Times New Roman" w:cs="Times New Roman"/>
          <w:sz w:val="24"/>
          <w:szCs w:val="24"/>
        </w:rPr>
      </w:pPr>
    </w:p>
    <w:p w14:paraId="51A4E421" w14:textId="77777777" w:rsidR="004310C3" w:rsidRDefault="004310C3" w:rsidP="004310C3">
      <w:pPr>
        <w:jc w:val="both"/>
        <w:rPr>
          <w:rFonts w:ascii="Times New Roman" w:hAnsi="Times New Roman" w:cs="Times New Roman"/>
          <w:sz w:val="24"/>
          <w:szCs w:val="24"/>
        </w:rPr>
      </w:pPr>
    </w:p>
    <w:p w14:paraId="6612E707" w14:textId="79045AF3" w:rsidR="004310C3" w:rsidRPr="004310C3" w:rsidRDefault="004310C3" w:rsidP="004310C3">
      <w:pPr>
        <w:jc w:val="both"/>
        <w:rPr>
          <w:rFonts w:ascii="Times New Roman" w:hAnsi="Times New Roman" w:cs="Times New Roman"/>
          <w:sz w:val="24"/>
          <w:szCs w:val="24"/>
        </w:rPr>
      </w:pPr>
      <w:r w:rsidRPr="004310C3">
        <w:rPr>
          <w:rFonts w:ascii="Times New Roman" w:hAnsi="Times New Roman" w:cs="Times New Roman"/>
          <w:sz w:val="24"/>
          <w:szCs w:val="24"/>
        </w:rPr>
        <w:t xml:space="preserve">STUDENT NAME: </w:t>
      </w:r>
      <w:r>
        <w:rPr>
          <w:rFonts w:ascii="Times New Roman" w:hAnsi="Times New Roman" w:cs="Times New Roman"/>
          <w:sz w:val="24"/>
          <w:szCs w:val="24"/>
        </w:rPr>
        <w:t>REBECCA TETTEY</w:t>
      </w:r>
    </w:p>
    <w:p w14:paraId="0A143CB9" w14:textId="6ACC4565" w:rsidR="004310C3" w:rsidRPr="004310C3" w:rsidRDefault="004310C3" w:rsidP="004310C3">
      <w:pPr>
        <w:jc w:val="both"/>
        <w:rPr>
          <w:rFonts w:ascii="Times New Roman" w:hAnsi="Times New Roman" w:cs="Times New Roman"/>
          <w:sz w:val="24"/>
          <w:szCs w:val="24"/>
        </w:rPr>
      </w:pPr>
      <w:r w:rsidRPr="004310C3">
        <w:rPr>
          <w:rFonts w:ascii="Times New Roman" w:hAnsi="Times New Roman" w:cs="Times New Roman"/>
          <w:sz w:val="24"/>
          <w:szCs w:val="24"/>
        </w:rPr>
        <w:t xml:space="preserve">STUDENT ID: </w:t>
      </w:r>
      <w:r>
        <w:rPr>
          <w:rFonts w:ascii="Times New Roman" w:hAnsi="Times New Roman" w:cs="Times New Roman"/>
          <w:sz w:val="24"/>
          <w:szCs w:val="24"/>
        </w:rPr>
        <w:t>10069515</w:t>
      </w:r>
    </w:p>
    <w:sectPr w:rsidR="004310C3" w:rsidRPr="004310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1F"/>
    <w:rsid w:val="00045B6F"/>
    <w:rsid w:val="003A721F"/>
    <w:rsid w:val="004310C3"/>
    <w:rsid w:val="004B5DAF"/>
    <w:rsid w:val="00697E7B"/>
    <w:rsid w:val="00734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78FB"/>
  <w15:chartTrackingRefBased/>
  <w15:docId w15:val="{9CE5ACD3-C060-4E4B-B973-E53EC303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21F"/>
    <w:rPr>
      <w:rFonts w:eastAsiaTheme="majorEastAsia" w:cstheme="majorBidi"/>
      <w:color w:val="272727" w:themeColor="text1" w:themeTint="D8"/>
    </w:rPr>
  </w:style>
  <w:style w:type="paragraph" w:styleId="Title">
    <w:name w:val="Title"/>
    <w:basedOn w:val="Normal"/>
    <w:next w:val="Normal"/>
    <w:link w:val="TitleChar"/>
    <w:uiPriority w:val="10"/>
    <w:qFormat/>
    <w:rsid w:val="003A7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21F"/>
    <w:pPr>
      <w:spacing w:before="160"/>
      <w:jc w:val="center"/>
    </w:pPr>
    <w:rPr>
      <w:i/>
      <w:iCs/>
      <w:color w:val="404040" w:themeColor="text1" w:themeTint="BF"/>
    </w:rPr>
  </w:style>
  <w:style w:type="character" w:customStyle="1" w:styleId="QuoteChar">
    <w:name w:val="Quote Char"/>
    <w:basedOn w:val="DefaultParagraphFont"/>
    <w:link w:val="Quote"/>
    <w:uiPriority w:val="29"/>
    <w:rsid w:val="003A721F"/>
    <w:rPr>
      <w:i/>
      <w:iCs/>
      <w:color w:val="404040" w:themeColor="text1" w:themeTint="BF"/>
    </w:rPr>
  </w:style>
  <w:style w:type="paragraph" w:styleId="ListParagraph">
    <w:name w:val="List Paragraph"/>
    <w:basedOn w:val="Normal"/>
    <w:uiPriority w:val="34"/>
    <w:qFormat/>
    <w:rsid w:val="003A721F"/>
    <w:pPr>
      <w:ind w:left="720"/>
      <w:contextualSpacing/>
    </w:pPr>
  </w:style>
  <w:style w:type="character" w:styleId="IntenseEmphasis">
    <w:name w:val="Intense Emphasis"/>
    <w:basedOn w:val="DefaultParagraphFont"/>
    <w:uiPriority w:val="21"/>
    <w:qFormat/>
    <w:rsid w:val="003A721F"/>
    <w:rPr>
      <w:i/>
      <w:iCs/>
      <w:color w:val="0F4761" w:themeColor="accent1" w:themeShade="BF"/>
    </w:rPr>
  </w:style>
  <w:style w:type="paragraph" w:styleId="IntenseQuote">
    <w:name w:val="Intense Quote"/>
    <w:basedOn w:val="Normal"/>
    <w:next w:val="Normal"/>
    <w:link w:val="IntenseQuoteChar"/>
    <w:uiPriority w:val="30"/>
    <w:qFormat/>
    <w:rsid w:val="003A7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21F"/>
    <w:rPr>
      <w:i/>
      <w:iCs/>
      <w:color w:val="0F4761" w:themeColor="accent1" w:themeShade="BF"/>
    </w:rPr>
  </w:style>
  <w:style w:type="character" w:styleId="IntenseReference">
    <w:name w:val="Intense Reference"/>
    <w:basedOn w:val="DefaultParagraphFont"/>
    <w:uiPriority w:val="32"/>
    <w:qFormat/>
    <w:rsid w:val="003A72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Tettey</dc:creator>
  <cp:keywords/>
  <dc:description/>
  <cp:lastModifiedBy>Rebecca Tettey</cp:lastModifiedBy>
  <cp:revision>1</cp:revision>
  <dcterms:created xsi:type="dcterms:W3CDTF">2026-09-08T16:04:00Z</dcterms:created>
  <dcterms:modified xsi:type="dcterms:W3CDTF">2026-09-08T16:29:00Z</dcterms:modified>
</cp:coreProperties>
</file>