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0BEC6" w14:textId="77777777" w:rsidR="007D7664" w:rsidRPr="0056499C" w:rsidRDefault="007D7664" w:rsidP="007D7664">
      <w:pPr>
        <w:spacing w:line="480" w:lineRule="auto"/>
        <w:jc w:val="center"/>
        <w:rPr>
          <w:rFonts w:ascii="Times New Roman" w:eastAsia="Calibri" w:hAnsi="Times New Roman" w:cs="Times New Roman"/>
          <w:b/>
          <w:bCs/>
          <w:kern w:val="2"/>
          <w:sz w:val="24"/>
          <w:szCs w:val="24"/>
          <w14:ligatures w14:val="standardContextual"/>
        </w:rPr>
      </w:pPr>
      <w:bookmarkStart w:id="0" w:name="_Toc208494465"/>
      <w:r w:rsidRPr="0056499C">
        <w:rPr>
          <w:rFonts w:ascii="Times New Roman" w:eastAsia="Calibri" w:hAnsi="Times New Roman" w:cs="Times New Roman"/>
          <w:b/>
          <w:bCs/>
          <w:kern w:val="2"/>
          <w:sz w:val="24"/>
          <w:szCs w:val="24"/>
          <w14:ligatures w14:val="standardContextual"/>
        </w:rPr>
        <w:t>PRIVATE SECTOR ENGAGEMENT IN HEALTH SYSTEM RESILIENCE</w:t>
      </w:r>
      <w:r>
        <w:rPr>
          <w:rFonts w:ascii="Times New Roman" w:eastAsia="Calibri" w:hAnsi="Times New Roman" w:cs="Times New Roman"/>
          <w:b/>
          <w:bCs/>
          <w:kern w:val="2"/>
          <w:sz w:val="24"/>
          <w:szCs w:val="24"/>
          <w14:ligatures w14:val="standardContextual"/>
        </w:rPr>
        <w:t>:</w:t>
      </w:r>
      <w:r w:rsidRPr="0056499C">
        <w:rPr>
          <w:rFonts w:ascii="Times New Roman" w:eastAsia="Calibri" w:hAnsi="Times New Roman" w:cs="Times New Roman"/>
          <w:b/>
          <w:bCs/>
          <w:kern w:val="2"/>
          <w:sz w:val="24"/>
          <w:szCs w:val="24"/>
          <w14:ligatures w14:val="standardContextual"/>
        </w:rPr>
        <w:t xml:space="preserve"> AN EMBEDDED MULTIPLE CASE STUDY USING STAKEHOLDER AND GOVERNANCE THEORIES IN GHANA</w:t>
      </w:r>
    </w:p>
    <w:p w14:paraId="3F93816E" w14:textId="77777777" w:rsidR="007D7664" w:rsidRPr="0056499C" w:rsidRDefault="007D7664" w:rsidP="007D7664">
      <w:pPr>
        <w:spacing w:line="480" w:lineRule="auto"/>
        <w:rPr>
          <w:rFonts w:ascii="Times New Roman" w:eastAsia="Calibri" w:hAnsi="Times New Roman" w:cs="Times New Roman"/>
          <w:b/>
          <w:bCs/>
          <w:kern w:val="2"/>
          <w:sz w:val="24"/>
          <w:szCs w:val="24"/>
          <w14:ligatures w14:val="standardContextual"/>
        </w:rPr>
      </w:pPr>
    </w:p>
    <w:p w14:paraId="18D92817" w14:textId="77777777" w:rsidR="007D7664" w:rsidRPr="0056499C" w:rsidRDefault="007D7664" w:rsidP="007D7664">
      <w:pPr>
        <w:spacing w:line="480" w:lineRule="auto"/>
        <w:jc w:val="center"/>
        <w:rPr>
          <w:rFonts w:ascii="Times New Roman" w:eastAsia="Calibri" w:hAnsi="Times New Roman" w:cs="Times New Roman"/>
          <w:b/>
          <w:bCs/>
          <w:kern w:val="2"/>
          <w:sz w:val="24"/>
          <w:szCs w:val="24"/>
          <w14:ligatures w14:val="standardContextual"/>
        </w:rPr>
      </w:pPr>
      <w:r w:rsidRPr="0056499C">
        <w:rPr>
          <w:rFonts w:ascii="Times New Roman" w:eastAsia="Calibri" w:hAnsi="Times New Roman" w:cs="Times New Roman"/>
          <w:b/>
          <w:bCs/>
          <w:kern w:val="2"/>
          <w:sz w:val="24"/>
          <w:szCs w:val="24"/>
          <w14:ligatures w14:val="standardContextual"/>
        </w:rPr>
        <w:t>BY</w:t>
      </w:r>
    </w:p>
    <w:p w14:paraId="5DE3A6A3" w14:textId="77777777" w:rsidR="007D7664" w:rsidRPr="0056499C" w:rsidRDefault="007D7664" w:rsidP="007D7664">
      <w:pPr>
        <w:spacing w:line="480" w:lineRule="auto"/>
        <w:jc w:val="center"/>
        <w:rPr>
          <w:rFonts w:ascii="Times New Roman" w:eastAsia="Calibri" w:hAnsi="Times New Roman" w:cs="Times New Roman"/>
          <w:b/>
          <w:bCs/>
          <w:kern w:val="2"/>
          <w:sz w:val="24"/>
          <w:szCs w:val="24"/>
          <w14:ligatures w14:val="standardContextual"/>
        </w:rPr>
      </w:pPr>
      <w:r w:rsidRPr="0056499C">
        <w:rPr>
          <w:rFonts w:ascii="Times New Roman" w:eastAsia="Calibri" w:hAnsi="Times New Roman" w:cs="Times New Roman"/>
          <w:b/>
          <w:bCs/>
          <w:kern w:val="2"/>
          <w:sz w:val="24"/>
          <w:szCs w:val="24"/>
          <w14:ligatures w14:val="standardContextual"/>
        </w:rPr>
        <w:t>LAWRENCIA AGGREY-BLUWEY</w:t>
      </w:r>
    </w:p>
    <w:p w14:paraId="017CA278" w14:textId="77777777" w:rsidR="007D7664" w:rsidRPr="0056499C" w:rsidRDefault="007D7664" w:rsidP="007D7664">
      <w:pPr>
        <w:spacing w:line="480" w:lineRule="auto"/>
        <w:jc w:val="center"/>
        <w:rPr>
          <w:rFonts w:ascii="Times New Roman" w:eastAsia="Calibri" w:hAnsi="Times New Roman" w:cs="Times New Roman"/>
          <w:b/>
          <w:bCs/>
          <w:kern w:val="2"/>
          <w:sz w:val="24"/>
          <w:szCs w:val="24"/>
          <w14:ligatures w14:val="standardContextual"/>
        </w:rPr>
      </w:pPr>
      <w:r w:rsidRPr="0056499C">
        <w:rPr>
          <w:rFonts w:ascii="Times New Roman" w:eastAsia="Calibri" w:hAnsi="Times New Roman" w:cs="Times New Roman"/>
          <w:b/>
          <w:bCs/>
          <w:kern w:val="2"/>
          <w:sz w:val="24"/>
          <w:szCs w:val="24"/>
          <w14:ligatures w14:val="standardContextual"/>
        </w:rPr>
        <w:t>(10273621)</w:t>
      </w:r>
    </w:p>
    <w:p w14:paraId="1BDE91C3" w14:textId="77777777" w:rsidR="007D7664" w:rsidRDefault="007D7664" w:rsidP="007D7664">
      <w:pPr>
        <w:spacing w:line="480" w:lineRule="auto"/>
        <w:rPr>
          <w:rFonts w:ascii="Times New Roman" w:hAnsi="Times New Roman" w:cs="Times New Roman"/>
          <w:b/>
          <w:bCs/>
          <w:sz w:val="28"/>
          <w:szCs w:val="28"/>
        </w:rPr>
      </w:pPr>
    </w:p>
    <w:p w14:paraId="13ACEFA9" w14:textId="77777777" w:rsidR="007D7664" w:rsidRDefault="007D7664" w:rsidP="007D7664">
      <w:pPr>
        <w:spacing w:line="480" w:lineRule="auto"/>
        <w:jc w:val="center"/>
        <w:rPr>
          <w:rFonts w:ascii="Times New Roman" w:hAnsi="Times New Roman" w:cs="Times New Roman"/>
          <w:b/>
          <w:bCs/>
          <w:sz w:val="28"/>
          <w:szCs w:val="28"/>
        </w:rPr>
      </w:pPr>
    </w:p>
    <w:p w14:paraId="109B0977" w14:textId="77777777" w:rsidR="007D7664" w:rsidRDefault="007D7664" w:rsidP="007D7664">
      <w:pPr>
        <w:spacing w:line="480" w:lineRule="auto"/>
        <w:jc w:val="center"/>
        <w:rPr>
          <w:rFonts w:ascii="Times New Roman" w:hAnsi="Times New Roman" w:cs="Times New Roman"/>
          <w:b/>
          <w:bCs/>
          <w:sz w:val="28"/>
          <w:szCs w:val="28"/>
        </w:rPr>
      </w:pPr>
    </w:p>
    <w:p w14:paraId="372703E3" w14:textId="77777777" w:rsidR="007D7664" w:rsidRDefault="007D7664" w:rsidP="007D7664">
      <w:pPr>
        <w:spacing w:line="480" w:lineRule="auto"/>
        <w:jc w:val="center"/>
        <w:rPr>
          <w:rFonts w:ascii="Times New Roman" w:hAnsi="Times New Roman" w:cs="Times New Roman"/>
          <w:b/>
          <w:bCs/>
          <w:sz w:val="28"/>
          <w:szCs w:val="28"/>
        </w:rPr>
      </w:pPr>
    </w:p>
    <w:p w14:paraId="47C9048F" w14:textId="77777777" w:rsidR="007D7664" w:rsidRDefault="007D7664" w:rsidP="007D7664">
      <w:pPr>
        <w:spacing w:line="480" w:lineRule="auto"/>
        <w:jc w:val="center"/>
        <w:rPr>
          <w:rFonts w:ascii="Times New Roman" w:hAnsi="Times New Roman" w:cs="Times New Roman"/>
          <w:b/>
          <w:bCs/>
          <w:sz w:val="28"/>
          <w:szCs w:val="28"/>
        </w:rPr>
      </w:pPr>
    </w:p>
    <w:p w14:paraId="4F8EF36E" w14:textId="77777777" w:rsidR="007D7664" w:rsidRDefault="007D7664" w:rsidP="007D7664">
      <w:pPr>
        <w:spacing w:line="480" w:lineRule="auto"/>
        <w:jc w:val="center"/>
        <w:rPr>
          <w:rFonts w:ascii="Times New Roman" w:hAnsi="Times New Roman" w:cs="Times New Roman"/>
          <w:b/>
          <w:bCs/>
          <w:sz w:val="28"/>
          <w:szCs w:val="28"/>
        </w:rPr>
      </w:pPr>
    </w:p>
    <w:p w14:paraId="2011D3BF" w14:textId="77777777" w:rsidR="007D7664" w:rsidRDefault="007D7664" w:rsidP="007D7664">
      <w:pPr>
        <w:spacing w:line="480" w:lineRule="auto"/>
        <w:jc w:val="center"/>
        <w:rPr>
          <w:rFonts w:ascii="Times New Roman" w:hAnsi="Times New Roman" w:cs="Times New Roman"/>
          <w:b/>
          <w:bCs/>
          <w:sz w:val="28"/>
          <w:szCs w:val="28"/>
        </w:rPr>
      </w:pPr>
    </w:p>
    <w:p w14:paraId="6183C98A" w14:textId="77777777" w:rsidR="007D7664" w:rsidRDefault="007D7664" w:rsidP="007D7664">
      <w:pPr>
        <w:spacing w:line="480" w:lineRule="auto"/>
        <w:jc w:val="center"/>
        <w:rPr>
          <w:rFonts w:ascii="Times New Roman" w:hAnsi="Times New Roman" w:cs="Times New Roman"/>
          <w:b/>
          <w:bCs/>
          <w:sz w:val="28"/>
          <w:szCs w:val="28"/>
        </w:rPr>
      </w:pPr>
    </w:p>
    <w:p w14:paraId="44842FE7" w14:textId="77777777" w:rsidR="007D7664" w:rsidRDefault="007D7664" w:rsidP="007D7664">
      <w:pPr>
        <w:spacing w:line="480" w:lineRule="auto"/>
        <w:jc w:val="center"/>
        <w:rPr>
          <w:rFonts w:ascii="Times New Roman" w:hAnsi="Times New Roman" w:cs="Times New Roman"/>
          <w:b/>
          <w:bCs/>
          <w:sz w:val="28"/>
          <w:szCs w:val="28"/>
        </w:rPr>
      </w:pPr>
    </w:p>
    <w:p w14:paraId="7B8AFAC4" w14:textId="77777777" w:rsidR="007D7664" w:rsidRDefault="007D7664" w:rsidP="007D7664">
      <w:pPr>
        <w:spacing w:line="480" w:lineRule="auto"/>
        <w:jc w:val="center"/>
        <w:rPr>
          <w:rFonts w:ascii="Times New Roman" w:hAnsi="Times New Roman" w:cs="Times New Roman"/>
          <w:b/>
          <w:bCs/>
          <w:sz w:val="28"/>
          <w:szCs w:val="28"/>
        </w:rPr>
      </w:pPr>
    </w:p>
    <w:p w14:paraId="12055527" w14:textId="1DC31F93" w:rsidR="007D7664" w:rsidRPr="005A1C49" w:rsidRDefault="007D7664" w:rsidP="007D7664">
      <w:pPr>
        <w:spacing w:line="480" w:lineRule="auto"/>
        <w:jc w:val="center"/>
        <w:rPr>
          <w:rFonts w:ascii="Times New Roman" w:hAnsi="Times New Roman" w:cs="Times New Roman"/>
          <w:b/>
          <w:bCs/>
          <w:sz w:val="28"/>
          <w:szCs w:val="28"/>
        </w:rPr>
      </w:pPr>
      <w:r w:rsidRPr="005A1C49">
        <w:rPr>
          <w:rFonts w:ascii="Times New Roman" w:hAnsi="Times New Roman" w:cs="Times New Roman"/>
          <w:b/>
          <w:bCs/>
          <w:sz w:val="28"/>
          <w:szCs w:val="28"/>
        </w:rPr>
        <w:lastRenderedPageBreak/>
        <w:t>ABSTRACT</w:t>
      </w:r>
      <w:bookmarkEnd w:id="0"/>
    </w:p>
    <w:p w14:paraId="71A0819F"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 xml:space="preserve">Health system resilience has emerged as </w:t>
      </w:r>
      <w:r>
        <w:rPr>
          <w:rFonts w:ascii="Times New Roman" w:hAnsi="Times New Roman" w:cs="Times New Roman"/>
          <w:sz w:val="24"/>
          <w:szCs w:val="24"/>
        </w:rPr>
        <w:t>a</w:t>
      </w:r>
      <w:r w:rsidRPr="00D06481">
        <w:rPr>
          <w:rFonts w:ascii="Times New Roman" w:hAnsi="Times New Roman" w:cs="Times New Roman"/>
          <w:sz w:val="24"/>
          <w:szCs w:val="24"/>
        </w:rPr>
        <w:t xml:space="preserve"> global health priority, particularly in low- and middle-income countries where recurrent shocks and chronic stressors threaten the delivery of essential services. In Ghana, the private health sector provides a significant proportion of primary health services, yet its engagement in building health system resilience has not been sufficiently examined. </w:t>
      </w:r>
      <w:r w:rsidRPr="005E049C">
        <w:rPr>
          <w:rFonts w:ascii="Times New Roman" w:hAnsi="Times New Roman" w:cs="Times New Roman"/>
          <w:sz w:val="24"/>
          <w:szCs w:val="24"/>
        </w:rPr>
        <w:t>Despite global calls to involve the private sector in health system resilience</w:t>
      </w:r>
      <w:r>
        <w:rPr>
          <w:rFonts w:ascii="Times New Roman" w:hAnsi="Times New Roman" w:cs="Times New Roman"/>
          <w:sz w:val="24"/>
          <w:szCs w:val="24"/>
        </w:rPr>
        <w:t xml:space="preserve">, </w:t>
      </w:r>
      <w:r w:rsidRPr="005E049C">
        <w:rPr>
          <w:rFonts w:ascii="Times New Roman" w:hAnsi="Times New Roman" w:cs="Times New Roman"/>
          <w:sz w:val="24"/>
          <w:szCs w:val="24"/>
        </w:rPr>
        <w:t xml:space="preserve">very few studies have examined how engagement </w:t>
      </w:r>
      <w:proofErr w:type="gramStart"/>
      <w:r w:rsidRPr="005E049C">
        <w:rPr>
          <w:rFonts w:ascii="Times New Roman" w:hAnsi="Times New Roman" w:cs="Times New Roman"/>
          <w:sz w:val="24"/>
          <w:szCs w:val="24"/>
        </w:rPr>
        <w:t>actually works</w:t>
      </w:r>
      <w:proofErr w:type="gramEnd"/>
      <w:r w:rsidRPr="005E049C">
        <w:rPr>
          <w:rFonts w:ascii="Times New Roman" w:hAnsi="Times New Roman" w:cs="Times New Roman"/>
          <w:sz w:val="24"/>
          <w:szCs w:val="24"/>
        </w:rPr>
        <w:t xml:space="preserve"> across governance levels</w:t>
      </w:r>
      <w:r>
        <w:rPr>
          <w:rFonts w:ascii="Times New Roman" w:hAnsi="Times New Roman" w:cs="Times New Roman"/>
          <w:sz w:val="24"/>
          <w:szCs w:val="24"/>
        </w:rPr>
        <w:t>, especially in low- and middle-income countries</w:t>
      </w:r>
      <w:r w:rsidRPr="005E049C">
        <w:rPr>
          <w:rFonts w:ascii="Times New Roman" w:hAnsi="Times New Roman" w:cs="Times New Roman"/>
          <w:sz w:val="24"/>
          <w:szCs w:val="24"/>
        </w:rPr>
        <w:t xml:space="preserve">. Existing work often focuses on single crises, treats the private sector as one uniform group, and overlooks the differences between hospitals, pharmacies, laboratories, NGOs, and their unique roles in the system. This leaves major gaps in understanding how engagement mechanisms operate nationally versus </w:t>
      </w:r>
      <w:r>
        <w:rPr>
          <w:rFonts w:ascii="Times New Roman" w:hAnsi="Times New Roman" w:cs="Times New Roman"/>
          <w:sz w:val="24"/>
          <w:szCs w:val="24"/>
        </w:rPr>
        <w:t>sub-nationally</w:t>
      </w:r>
      <w:r w:rsidRPr="005E049C">
        <w:rPr>
          <w:rFonts w:ascii="Times New Roman" w:hAnsi="Times New Roman" w:cs="Times New Roman"/>
          <w:sz w:val="24"/>
          <w:szCs w:val="24"/>
        </w:rPr>
        <w:t xml:space="preserve"> and what challenges arise. This study addresses these gaps</w:t>
      </w:r>
      <w:r>
        <w:rPr>
          <w:rFonts w:ascii="Times New Roman" w:hAnsi="Times New Roman" w:cs="Times New Roman"/>
          <w:sz w:val="24"/>
          <w:szCs w:val="24"/>
        </w:rPr>
        <w:t xml:space="preserve"> by </w:t>
      </w:r>
      <w:r w:rsidRPr="00D06481">
        <w:rPr>
          <w:rFonts w:ascii="Times New Roman" w:hAnsi="Times New Roman" w:cs="Times New Roman"/>
          <w:sz w:val="24"/>
          <w:szCs w:val="24"/>
        </w:rPr>
        <w:t>assess</w:t>
      </w:r>
      <w:r>
        <w:rPr>
          <w:rFonts w:ascii="Times New Roman" w:hAnsi="Times New Roman" w:cs="Times New Roman"/>
          <w:sz w:val="24"/>
          <w:szCs w:val="24"/>
        </w:rPr>
        <w:t>ing</w:t>
      </w:r>
      <w:r w:rsidRPr="00D06481">
        <w:rPr>
          <w:rFonts w:ascii="Times New Roman" w:hAnsi="Times New Roman" w:cs="Times New Roman"/>
          <w:sz w:val="24"/>
          <w:szCs w:val="24"/>
        </w:rPr>
        <w:t xml:space="preserve"> the level of engagement of the private health sector in building health system resilience across governance levels, examin</w:t>
      </w:r>
      <w:r>
        <w:rPr>
          <w:rFonts w:ascii="Times New Roman" w:hAnsi="Times New Roman" w:cs="Times New Roman"/>
          <w:sz w:val="24"/>
          <w:szCs w:val="24"/>
        </w:rPr>
        <w:t>ing</w:t>
      </w:r>
      <w:r w:rsidRPr="00D06481">
        <w:rPr>
          <w:rFonts w:ascii="Times New Roman" w:hAnsi="Times New Roman" w:cs="Times New Roman"/>
          <w:sz w:val="24"/>
          <w:szCs w:val="24"/>
        </w:rPr>
        <w:t xml:space="preserve"> the engagement mechanisms employed to involve the private health sector in health system resilience initiatives, and investigat</w:t>
      </w:r>
      <w:r>
        <w:rPr>
          <w:rFonts w:ascii="Times New Roman" w:hAnsi="Times New Roman" w:cs="Times New Roman"/>
          <w:sz w:val="24"/>
          <w:szCs w:val="24"/>
        </w:rPr>
        <w:t>ing</w:t>
      </w:r>
      <w:r w:rsidRPr="00D06481">
        <w:rPr>
          <w:rFonts w:ascii="Times New Roman" w:hAnsi="Times New Roman" w:cs="Times New Roman"/>
          <w:sz w:val="24"/>
          <w:szCs w:val="24"/>
        </w:rPr>
        <w:t xml:space="preserve"> the resilience actions and challenges emerging from private sector engagement at both national and subnational levels of Ghana’s health system.</w:t>
      </w:r>
    </w:p>
    <w:p w14:paraId="3599A367"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 xml:space="preserve">Grounded in Stakeholder Theory, the study employed the WHO Governance Behavior Framework and the USAID Strategic Approach to engaging the private health sector in building health system resilience to operationalize the terms “engagement” and “resilience” respectively. </w:t>
      </w:r>
      <w:r>
        <w:rPr>
          <w:rFonts w:ascii="Times New Roman" w:hAnsi="Times New Roman" w:cs="Times New Roman"/>
          <w:sz w:val="24"/>
          <w:szCs w:val="24"/>
        </w:rPr>
        <w:t>Adhering to the Standards for Reporting Qualitative Research, t</w:t>
      </w:r>
      <w:r w:rsidRPr="00D06481">
        <w:rPr>
          <w:rFonts w:ascii="Times New Roman" w:hAnsi="Times New Roman" w:cs="Times New Roman"/>
          <w:sz w:val="24"/>
          <w:szCs w:val="24"/>
        </w:rPr>
        <w:t>h</w:t>
      </w:r>
      <w:r>
        <w:rPr>
          <w:rFonts w:ascii="Times New Roman" w:hAnsi="Times New Roman" w:cs="Times New Roman"/>
          <w:sz w:val="24"/>
          <w:szCs w:val="24"/>
        </w:rPr>
        <w:t>is</w:t>
      </w:r>
      <w:r w:rsidRPr="00D06481">
        <w:rPr>
          <w:rFonts w:ascii="Times New Roman" w:hAnsi="Times New Roman" w:cs="Times New Roman"/>
          <w:sz w:val="24"/>
          <w:szCs w:val="24"/>
        </w:rPr>
        <w:t xml:space="preserve"> study employed an embedded multiple case study design using a semi-structured interview guide to conduct</w:t>
      </w:r>
      <w:r>
        <w:rPr>
          <w:rFonts w:ascii="Times New Roman" w:hAnsi="Times New Roman" w:cs="Times New Roman"/>
          <w:sz w:val="24"/>
          <w:szCs w:val="24"/>
        </w:rPr>
        <w:t xml:space="preserve"> </w:t>
      </w:r>
      <w:r w:rsidRPr="00D06481">
        <w:rPr>
          <w:rFonts w:ascii="Times New Roman" w:hAnsi="Times New Roman" w:cs="Times New Roman"/>
          <w:sz w:val="24"/>
          <w:szCs w:val="24"/>
        </w:rPr>
        <w:t>in-depth face-to-face interviews among actors at multiple levels (national and subnational levels) in Ghana’s health system. For the subnational level, the Central Region was purposively selected, focusing on four districts/municipalities</w:t>
      </w:r>
      <w:r>
        <w:rPr>
          <w:rFonts w:ascii="Times New Roman" w:hAnsi="Times New Roman" w:cs="Times New Roman"/>
          <w:sz w:val="24"/>
          <w:szCs w:val="24"/>
        </w:rPr>
        <w:t>,</w:t>
      </w:r>
      <w:r w:rsidRPr="00D06481">
        <w:rPr>
          <w:rFonts w:ascii="Times New Roman" w:hAnsi="Times New Roman" w:cs="Times New Roman"/>
          <w:sz w:val="24"/>
          <w:szCs w:val="24"/>
        </w:rPr>
        <w:t xml:space="preserve"> including </w:t>
      </w:r>
      <w:proofErr w:type="spellStart"/>
      <w:r w:rsidRPr="00D06481">
        <w:rPr>
          <w:rFonts w:ascii="Times New Roman" w:hAnsi="Times New Roman" w:cs="Times New Roman"/>
          <w:sz w:val="24"/>
          <w:szCs w:val="24"/>
        </w:rPr>
        <w:t>Effutu</w:t>
      </w:r>
      <w:proofErr w:type="spellEnd"/>
      <w:r w:rsidRPr="00D06481">
        <w:rPr>
          <w:rFonts w:ascii="Times New Roman" w:hAnsi="Times New Roman" w:cs="Times New Roman"/>
          <w:sz w:val="24"/>
          <w:szCs w:val="24"/>
        </w:rPr>
        <w:t xml:space="preserve">, </w:t>
      </w:r>
      <w:proofErr w:type="spellStart"/>
      <w:r w:rsidRPr="00D06481">
        <w:rPr>
          <w:rFonts w:ascii="Times New Roman" w:hAnsi="Times New Roman" w:cs="Times New Roman"/>
          <w:sz w:val="24"/>
          <w:szCs w:val="24"/>
        </w:rPr>
        <w:t>Awutu</w:t>
      </w:r>
      <w:proofErr w:type="spellEnd"/>
      <w:r w:rsidRPr="00D06481">
        <w:rPr>
          <w:rFonts w:ascii="Times New Roman" w:hAnsi="Times New Roman" w:cs="Times New Roman"/>
          <w:sz w:val="24"/>
          <w:szCs w:val="24"/>
        </w:rPr>
        <w:t xml:space="preserve"> Senya East, Gomoa East, and Gomoa West. A total of 43 respondents were interviewed from both the national and subnational levels, and 59 documents were reviewed.</w:t>
      </w:r>
      <w:r>
        <w:rPr>
          <w:rFonts w:ascii="Times New Roman" w:hAnsi="Times New Roman" w:cs="Times New Roman"/>
          <w:sz w:val="24"/>
          <w:szCs w:val="24"/>
        </w:rPr>
        <w:t xml:space="preserve"> Respondents were drawn from the Ministry of Health, Private Health Facilities Association of Ghana, Community Pharmacy Practice Association of Ghana, Coalition of Health-Related Non-Governmental Organizations, Regional/District/Municipal Health Directorates, private hospitals, community pharmacies, private laboratories, and individual non-governmental organizations.</w:t>
      </w:r>
      <w:r w:rsidRPr="00D06481">
        <w:rPr>
          <w:rFonts w:ascii="Times New Roman" w:hAnsi="Times New Roman" w:cs="Times New Roman"/>
          <w:sz w:val="24"/>
          <w:szCs w:val="24"/>
        </w:rPr>
        <w:t xml:space="preserve"> Data was analyzed thematically using a hybrid approach of deductive and inductive coding, with deductive themes derived from the conceptual framework and inductive themes emerging from the data. </w:t>
      </w:r>
      <w:r>
        <w:rPr>
          <w:rFonts w:ascii="Times New Roman" w:hAnsi="Times New Roman" w:cs="Times New Roman"/>
          <w:sz w:val="24"/>
          <w:szCs w:val="24"/>
        </w:rPr>
        <w:t xml:space="preserve">All trustworthiness criteria, such as credibility, dependability, transferability, confirmability, and reflexivity, were adhered to. </w:t>
      </w:r>
      <w:r w:rsidRPr="00D06481">
        <w:rPr>
          <w:rFonts w:ascii="Times New Roman" w:hAnsi="Times New Roman" w:cs="Times New Roman"/>
          <w:sz w:val="24"/>
          <w:szCs w:val="24"/>
        </w:rPr>
        <w:t>Ethical clearance for this study was obtained from the Ghana Health Service Ethics Review Committee (GHS-ERC 018/04/24) and the Ethics Committee for the Humanities (ECH 074/24-25).</w:t>
      </w:r>
    </w:p>
    <w:p w14:paraId="621E7CF5" w14:textId="77777777" w:rsidR="007D7664" w:rsidRDefault="007D7664" w:rsidP="007D7664">
      <w:pPr>
        <w:spacing w:line="480" w:lineRule="auto"/>
        <w:jc w:val="both"/>
        <w:rPr>
          <w:rFonts w:ascii="Times New Roman" w:hAnsi="Times New Roman" w:cs="Times New Roman"/>
          <w:sz w:val="24"/>
          <w:szCs w:val="24"/>
        </w:rPr>
      </w:pPr>
      <w:r>
        <w:rPr>
          <w:rFonts w:ascii="Times New Roman" w:hAnsi="Times New Roman" w:cs="Times New Roman"/>
          <w:sz w:val="24"/>
          <w:szCs w:val="24"/>
        </w:rPr>
        <w:t>For the key findings of the study,</w:t>
      </w:r>
      <w:r w:rsidRPr="00D06481">
        <w:rPr>
          <w:rFonts w:ascii="Times New Roman" w:hAnsi="Times New Roman" w:cs="Times New Roman"/>
          <w:sz w:val="24"/>
          <w:szCs w:val="24"/>
        </w:rPr>
        <w:t xml:space="preserve"> </w:t>
      </w:r>
      <w:r>
        <w:rPr>
          <w:rFonts w:ascii="Times New Roman" w:hAnsi="Times New Roman" w:cs="Times New Roman"/>
          <w:sz w:val="24"/>
          <w:szCs w:val="24"/>
        </w:rPr>
        <w:t>t</w:t>
      </w:r>
      <w:r w:rsidRPr="00D06481">
        <w:rPr>
          <w:rFonts w:ascii="Times New Roman" w:hAnsi="Times New Roman" w:cs="Times New Roman"/>
          <w:sz w:val="24"/>
          <w:szCs w:val="24"/>
        </w:rPr>
        <w:t xml:space="preserve">he first objective revealed </w:t>
      </w:r>
      <w:r>
        <w:rPr>
          <w:rFonts w:ascii="Times New Roman" w:hAnsi="Times New Roman" w:cs="Times New Roman"/>
          <w:sz w:val="24"/>
          <w:szCs w:val="24"/>
        </w:rPr>
        <w:t>that a</w:t>
      </w:r>
      <w:r w:rsidRPr="004D4AA4">
        <w:rPr>
          <w:rFonts w:ascii="Times New Roman" w:hAnsi="Times New Roman" w:cs="Times New Roman"/>
          <w:sz w:val="24"/>
          <w:szCs w:val="24"/>
        </w:rPr>
        <w:t xml:space="preserve">t the national level, health system resilience is clearly conceptualized and supported by policies and regulatory structures. By contrast, at the subnational level, resilience is poorly defined and not operationalized through any dedicated framework. Engagement is most visible </w:t>
      </w:r>
      <w:r>
        <w:rPr>
          <w:rFonts w:ascii="Times New Roman" w:hAnsi="Times New Roman" w:cs="Times New Roman"/>
          <w:sz w:val="24"/>
          <w:szCs w:val="24"/>
        </w:rPr>
        <w:t>in private hospitals, which are integrated into district health management structures. However,</w:t>
      </w:r>
      <w:r w:rsidRPr="004D4AA4">
        <w:rPr>
          <w:rFonts w:ascii="Times New Roman" w:hAnsi="Times New Roman" w:cs="Times New Roman"/>
          <w:sz w:val="24"/>
          <w:szCs w:val="24"/>
        </w:rPr>
        <w:t xml:space="preserve"> private laboratories, community pharmacies, and NGOs reported </w:t>
      </w:r>
      <w:r>
        <w:rPr>
          <w:rFonts w:ascii="Times New Roman" w:hAnsi="Times New Roman" w:cs="Times New Roman"/>
          <w:sz w:val="24"/>
          <w:szCs w:val="24"/>
        </w:rPr>
        <w:t>minimal</w:t>
      </w:r>
      <w:r w:rsidRPr="004D4AA4">
        <w:rPr>
          <w:rFonts w:ascii="Times New Roman" w:hAnsi="Times New Roman" w:cs="Times New Roman"/>
          <w:sz w:val="24"/>
          <w:szCs w:val="24"/>
        </w:rPr>
        <w:t xml:space="preserve"> interaction. This uneven involvement reflects systemic gaps, including the failure to register some newly established facilities, hindering integration into resilience efforts</w:t>
      </w:r>
      <w:r>
        <w:rPr>
          <w:rFonts w:ascii="Times New Roman" w:hAnsi="Times New Roman" w:cs="Times New Roman"/>
          <w:sz w:val="24"/>
          <w:szCs w:val="24"/>
        </w:rPr>
        <w:t xml:space="preserve">. Further, </w:t>
      </w:r>
      <w:r w:rsidRPr="00D06481">
        <w:rPr>
          <w:rFonts w:ascii="Times New Roman" w:hAnsi="Times New Roman" w:cs="Times New Roman"/>
          <w:sz w:val="24"/>
          <w:szCs w:val="24"/>
        </w:rPr>
        <w:t xml:space="preserve">although the private health sector is involved in resilience-building efforts, the extent of engagement differs markedly across governance levels and types of actors. </w:t>
      </w:r>
    </w:p>
    <w:p w14:paraId="46ACBB57" w14:textId="77777777" w:rsidR="007D7664" w:rsidRPr="00D06481" w:rsidRDefault="007D7664" w:rsidP="007D7664">
      <w:pPr>
        <w:spacing w:line="480" w:lineRule="auto"/>
        <w:jc w:val="both"/>
        <w:rPr>
          <w:rFonts w:ascii="Times New Roman" w:hAnsi="Times New Roman" w:cs="Times New Roman"/>
          <w:sz w:val="24"/>
          <w:szCs w:val="24"/>
        </w:rPr>
      </w:pPr>
    </w:p>
    <w:p w14:paraId="6B9BC781"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For the second objective, the study identified several engagement mechanisms</w:t>
      </w:r>
      <w:r>
        <w:rPr>
          <w:rFonts w:ascii="Times New Roman" w:hAnsi="Times New Roman" w:cs="Times New Roman"/>
          <w:sz w:val="24"/>
          <w:szCs w:val="24"/>
        </w:rPr>
        <w:t>,</w:t>
      </w:r>
      <w:r w:rsidRPr="00D06481">
        <w:rPr>
          <w:rFonts w:ascii="Times New Roman" w:hAnsi="Times New Roman" w:cs="Times New Roman"/>
          <w:sz w:val="24"/>
          <w:szCs w:val="24"/>
        </w:rPr>
        <w:t xml:space="preserve"> including aligning structures, delivering strategy, building understanding, fostering relations, and nurturing trust. These mechanisms were robust at the national level but inconsistently applied at the subnational level. An emerging theme, “Integrated Supportive Supervision,” was identified at the subnational level, where public health authorities collaborate with private hospitals to strengthen healthcare delivery.</w:t>
      </w:r>
    </w:p>
    <w:p w14:paraId="524183F7"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For the third objective, findings revealed that national-level actors engage in proactive resilience actions before shock events, including early risk identification, routine stressor management, and strategic partnerships with private providers. In contrast, subnational actors adopt a more reactive approach, engaging private providers primarily during and after shock events. Several challenges to engagement were identified</w:t>
      </w:r>
      <w:r>
        <w:rPr>
          <w:rFonts w:ascii="Times New Roman" w:hAnsi="Times New Roman" w:cs="Times New Roman"/>
          <w:sz w:val="24"/>
          <w:szCs w:val="24"/>
        </w:rPr>
        <w:t>, including f</w:t>
      </w:r>
      <w:r w:rsidRPr="00D06481">
        <w:rPr>
          <w:rFonts w:ascii="Times New Roman" w:hAnsi="Times New Roman" w:cs="Times New Roman"/>
          <w:sz w:val="24"/>
          <w:szCs w:val="24"/>
        </w:rPr>
        <w:t>ragmentation within the private sector, financial and resource inequalities, perceptions of the private sector as profit-driven, competition between public and private facilities, delays in data reporting, and balancing regulation with partnership. These challenges limit the full potential of public-private collaboration in strengthening health system resilience.</w:t>
      </w:r>
    </w:p>
    <w:p w14:paraId="36708E59" w14:textId="77777777" w:rsidR="007D7664"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One important dimension from this</w:t>
      </w:r>
      <w:r>
        <w:rPr>
          <w:rFonts w:ascii="Times New Roman" w:hAnsi="Times New Roman" w:cs="Times New Roman"/>
          <w:sz w:val="24"/>
          <w:szCs w:val="24"/>
        </w:rPr>
        <w:t xml:space="preserve"> study’s</w:t>
      </w:r>
      <w:r w:rsidRPr="00D06481">
        <w:rPr>
          <w:rFonts w:ascii="Times New Roman" w:hAnsi="Times New Roman" w:cs="Times New Roman"/>
          <w:sz w:val="24"/>
          <w:szCs w:val="24"/>
        </w:rPr>
        <w:t xml:space="preserve"> finding</w:t>
      </w:r>
      <w:r>
        <w:rPr>
          <w:rFonts w:ascii="Times New Roman" w:hAnsi="Times New Roman" w:cs="Times New Roman"/>
          <w:sz w:val="24"/>
          <w:szCs w:val="24"/>
        </w:rPr>
        <w:t>s</w:t>
      </w:r>
      <w:r w:rsidRPr="00D06481">
        <w:rPr>
          <w:rFonts w:ascii="Times New Roman" w:hAnsi="Times New Roman" w:cs="Times New Roman"/>
          <w:sz w:val="24"/>
          <w:szCs w:val="24"/>
        </w:rPr>
        <w:t xml:space="preserve"> is that subnational actors’ limited understanding of foundational health system goals</w:t>
      </w:r>
      <w:r>
        <w:rPr>
          <w:rFonts w:ascii="Times New Roman" w:hAnsi="Times New Roman" w:cs="Times New Roman"/>
          <w:sz w:val="24"/>
          <w:szCs w:val="24"/>
        </w:rPr>
        <w:t>,</w:t>
      </w:r>
      <w:r w:rsidRPr="00D06481">
        <w:rPr>
          <w:rFonts w:ascii="Times New Roman" w:hAnsi="Times New Roman" w:cs="Times New Roman"/>
          <w:sz w:val="24"/>
          <w:szCs w:val="24"/>
        </w:rPr>
        <w:t xml:space="preserve"> such as resilience</w:t>
      </w:r>
      <w:r>
        <w:rPr>
          <w:rFonts w:ascii="Times New Roman" w:hAnsi="Times New Roman" w:cs="Times New Roman"/>
          <w:sz w:val="24"/>
          <w:szCs w:val="24"/>
        </w:rPr>
        <w:t>,</w:t>
      </w:r>
      <w:r w:rsidRPr="00D06481">
        <w:rPr>
          <w:rFonts w:ascii="Times New Roman" w:hAnsi="Times New Roman" w:cs="Times New Roman"/>
          <w:sz w:val="24"/>
          <w:szCs w:val="24"/>
        </w:rPr>
        <w:t xml:space="preserve"> points to a system failure in governance, rather than isolated individual oversight. Good governance design should secure consistent, system-wide awareness and alignment with strategic objectives. The absence of conceptual awareness of resilience and engagement frameworks among subnational actors reflects a gap in knowledge and a failure of policy dissemination and operational alignment.</w:t>
      </w:r>
    </w:p>
    <w:p w14:paraId="1711AA3A" w14:textId="77777777" w:rsidR="007D7664" w:rsidRPr="00D06481" w:rsidRDefault="007D7664" w:rsidP="007D7664">
      <w:pPr>
        <w:spacing w:line="480" w:lineRule="auto"/>
        <w:jc w:val="both"/>
        <w:rPr>
          <w:rFonts w:ascii="Times New Roman" w:hAnsi="Times New Roman" w:cs="Times New Roman"/>
          <w:sz w:val="24"/>
          <w:szCs w:val="24"/>
        </w:rPr>
      </w:pPr>
    </w:p>
    <w:p w14:paraId="1BBC27E6"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 xml:space="preserve">The study proposes an operational framework for engaging the private health sector in building health system resilience. Engagement mechanisms such as building understanding, enabling stakeholders, fostering relations, nurturing trust, aligning structures, delivering strategy, and integrated supportive supervision were shown to facilitate resilience actions categorized as pre-shock (acting early, addressing routine stressors, risk assessments, and partnerships) and intra-shock (prevention, surveillance, coordinated response, and recovery). </w:t>
      </w:r>
      <w:r>
        <w:rPr>
          <w:rFonts w:ascii="Times New Roman" w:hAnsi="Times New Roman" w:cs="Times New Roman"/>
          <w:sz w:val="24"/>
          <w:szCs w:val="24"/>
        </w:rPr>
        <w:t>The f</w:t>
      </w:r>
      <w:r w:rsidRPr="00D06481">
        <w:rPr>
          <w:rFonts w:ascii="Times New Roman" w:hAnsi="Times New Roman" w:cs="Times New Roman"/>
          <w:sz w:val="24"/>
          <w:szCs w:val="24"/>
        </w:rPr>
        <w:t>eedback loop allow</w:t>
      </w:r>
      <w:r>
        <w:rPr>
          <w:rFonts w:ascii="Times New Roman" w:hAnsi="Times New Roman" w:cs="Times New Roman"/>
          <w:sz w:val="24"/>
          <w:szCs w:val="24"/>
        </w:rPr>
        <w:t xml:space="preserve">s for </w:t>
      </w:r>
      <w:r w:rsidRPr="00D06481">
        <w:rPr>
          <w:rFonts w:ascii="Times New Roman" w:hAnsi="Times New Roman" w:cs="Times New Roman"/>
          <w:sz w:val="24"/>
          <w:szCs w:val="24"/>
        </w:rPr>
        <w:t>continuous learning and adaptation, reinforcing health system capacity.</w:t>
      </w:r>
    </w:p>
    <w:p w14:paraId="1C535835" w14:textId="77777777" w:rsidR="007D7664" w:rsidRPr="00D06481"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Th</w:t>
      </w:r>
      <w:r>
        <w:rPr>
          <w:rFonts w:ascii="Times New Roman" w:hAnsi="Times New Roman" w:cs="Times New Roman"/>
          <w:sz w:val="24"/>
          <w:szCs w:val="24"/>
        </w:rPr>
        <w:t>is</w:t>
      </w:r>
      <w:r w:rsidRPr="00D06481">
        <w:rPr>
          <w:rFonts w:ascii="Times New Roman" w:hAnsi="Times New Roman" w:cs="Times New Roman"/>
          <w:sz w:val="24"/>
          <w:szCs w:val="24"/>
        </w:rPr>
        <w:t xml:space="preserve"> study contributes to theory by </w:t>
      </w:r>
      <w:r>
        <w:rPr>
          <w:rFonts w:ascii="Times New Roman" w:hAnsi="Times New Roman" w:cs="Times New Roman"/>
          <w:sz w:val="24"/>
          <w:szCs w:val="24"/>
        </w:rPr>
        <w:t>applying the</w:t>
      </w:r>
      <w:r w:rsidRPr="00D06481">
        <w:rPr>
          <w:rFonts w:ascii="Times New Roman" w:hAnsi="Times New Roman" w:cs="Times New Roman"/>
          <w:sz w:val="24"/>
          <w:szCs w:val="24"/>
        </w:rPr>
        <w:t xml:space="preserve"> Stakeholder Theory to capture the complexity of multi-level governance relationships, the WHO Governance Behavior Framework with the inclusion of Integrated Supportive Supervision, and empirically testing the USAID Strategic Approach in a lower-middle-income context. It contributes to literature by documenting contexts where engagement was functional and mutually beneficial, and to methodology by applying an embedded multiple-case study across governance levels within one LMIC health system.</w:t>
      </w:r>
    </w:p>
    <w:p w14:paraId="446B9ED4" w14:textId="77777777" w:rsidR="007D7664" w:rsidRDefault="007D7664" w:rsidP="007D7664">
      <w:pPr>
        <w:spacing w:line="480" w:lineRule="auto"/>
        <w:jc w:val="both"/>
        <w:rPr>
          <w:rFonts w:ascii="Times New Roman" w:hAnsi="Times New Roman" w:cs="Times New Roman"/>
          <w:sz w:val="24"/>
          <w:szCs w:val="24"/>
        </w:rPr>
      </w:pPr>
      <w:r w:rsidRPr="00D06481">
        <w:rPr>
          <w:rFonts w:ascii="Times New Roman" w:hAnsi="Times New Roman" w:cs="Times New Roman"/>
          <w:sz w:val="24"/>
          <w:szCs w:val="24"/>
        </w:rPr>
        <w:t>The study recommends prioritizing the operationalization of national-level policies at subnational levels, institutionalizing risk assessments and private sector analyses in health planning, creating financial incentives for private sector participation, enhancing public-private coordination, scaling up integrated supportive supervision to include all private providers, and implementing a Private Sector Health Data Integration Strategy. The study also calls for trust-building initiatives and the unification of private sector representation to reduce fragmentation.</w:t>
      </w:r>
    </w:p>
    <w:p w14:paraId="6FB8FFFB" w14:textId="77777777" w:rsidR="007D7664" w:rsidRDefault="007D7664"/>
    <w:sectPr w:rsidR="007D7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4"/>
    <w:rsid w:val="007D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2942"/>
  <w15:chartTrackingRefBased/>
  <w15:docId w15:val="{12696AEB-3AC2-42EE-865D-19A26AA6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1169</Words>
  <Characters>6664</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Lawrencia Aggrey-Bluwey</dc:creator>
  <cp:keywords/>
  <dc:description/>
  <cp:lastModifiedBy>Lawrencia Aggrey-Bluwey</cp:lastModifiedBy>
  <cp:revision>1</cp:revision>
  <dcterms:created xsi:type="dcterms:W3CDTF">2026-09-10T11:56:00Z</dcterms:created>
  <dcterms:modified xsi:type="dcterms:W3CDTF">2026-09-10T11:58:00Z</dcterms:modified>
</cp:coreProperties>
</file>